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31F1" w14:textId="19844C97" w:rsidR="0093786A" w:rsidRDefault="0015184D" w:rsidP="0093786A">
      <w:pPr>
        <w:spacing w:after="0" w:line="240" w:lineRule="auto"/>
        <w:jc w:val="center"/>
        <w:rPr>
          <w:b/>
          <w:sz w:val="28"/>
          <w:szCs w:val="28"/>
        </w:rPr>
      </w:pPr>
      <w:r w:rsidRPr="00A714EC">
        <w:rPr>
          <w:rFonts w:ascii="Calibri" w:hAnsi="Calibri" w:cs="Calibri"/>
          <w:b/>
          <w:sz w:val="30"/>
          <w:szCs w:val="30"/>
          <w:u w:val="single"/>
          <w:lang w:val="es-MX"/>
        </w:rPr>
        <w:t xml:space="preserve">NOTA DE PRENSA </w:t>
      </w:r>
      <w:proofErr w:type="spellStart"/>
      <w:r w:rsidRPr="00A714EC">
        <w:rPr>
          <w:rFonts w:ascii="Calibri" w:hAnsi="Calibri" w:cs="Calibri"/>
          <w:b/>
          <w:sz w:val="30"/>
          <w:szCs w:val="30"/>
          <w:u w:val="single"/>
          <w:lang w:val="es-MX"/>
        </w:rPr>
        <w:t>N.</w:t>
      </w:r>
      <w:r w:rsidRPr="00A714EC">
        <w:rPr>
          <w:rFonts w:ascii="Calibri" w:hAnsi="Calibri" w:cs="Calibri"/>
          <w:b/>
          <w:sz w:val="30"/>
          <w:szCs w:val="30"/>
          <w:u w:val="single"/>
          <w:vertAlign w:val="superscript"/>
          <w:lang w:val="es-MX"/>
        </w:rPr>
        <w:t>o</w:t>
      </w:r>
      <w:proofErr w:type="spellEnd"/>
      <w:r w:rsidR="000147FB" w:rsidRPr="00A714EC">
        <w:rPr>
          <w:rFonts w:ascii="Calibri" w:hAnsi="Calibri" w:cs="Calibri"/>
          <w:b/>
          <w:sz w:val="30"/>
          <w:szCs w:val="30"/>
          <w:u w:val="single"/>
          <w:vertAlign w:val="superscript"/>
          <w:lang w:val="es-MX"/>
        </w:rPr>
        <w:t xml:space="preserve"> </w:t>
      </w:r>
      <w:r w:rsidR="00CA3779">
        <w:rPr>
          <w:rFonts w:ascii="Calibri" w:hAnsi="Calibri" w:cs="Calibri"/>
          <w:b/>
          <w:sz w:val="30"/>
          <w:szCs w:val="30"/>
          <w:u w:val="single"/>
          <w:lang w:val="es-MX"/>
        </w:rPr>
        <w:t>7</w:t>
      </w:r>
      <w:r w:rsidR="009A37B5">
        <w:rPr>
          <w:rFonts w:ascii="Calibri" w:hAnsi="Calibri" w:cs="Calibri"/>
          <w:b/>
          <w:sz w:val="30"/>
          <w:szCs w:val="30"/>
          <w:u w:val="single"/>
          <w:lang w:val="es-MX"/>
        </w:rPr>
        <w:t>7</w:t>
      </w:r>
      <w:r w:rsidR="007E5008" w:rsidRPr="00A714EC">
        <w:rPr>
          <w:rFonts w:ascii="Calibri" w:hAnsi="Calibri" w:cs="Calibri"/>
          <w:b/>
          <w:sz w:val="30"/>
          <w:szCs w:val="30"/>
          <w:u w:val="single"/>
          <w:lang w:val="es-MX"/>
        </w:rPr>
        <w:t>-2026</w:t>
      </w:r>
      <w:r w:rsidR="0093786A" w:rsidRPr="0093786A">
        <w:rPr>
          <w:b/>
          <w:sz w:val="28"/>
          <w:szCs w:val="28"/>
        </w:rPr>
        <w:t xml:space="preserve"> </w:t>
      </w:r>
    </w:p>
    <w:p w14:paraId="46F1098E" w14:textId="77777777" w:rsidR="009A37B5" w:rsidRDefault="009A37B5" w:rsidP="009A37B5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9A37B5">
        <w:rPr>
          <w:rFonts w:ascii="Calibri" w:hAnsi="Calibri" w:cs="Calibri"/>
          <w:b/>
          <w:bCs/>
          <w:sz w:val="32"/>
          <w:szCs w:val="32"/>
        </w:rPr>
        <w:t>OSIPTEL: Ingresos de servicios móviles e internet fijo crecieron por encima del 5 % al cierre de 2025</w:t>
      </w:r>
    </w:p>
    <w:p w14:paraId="67E143C6" w14:textId="77777777" w:rsidR="00302BA5" w:rsidRPr="009A37B5" w:rsidRDefault="00302BA5" w:rsidP="009A37B5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08474C52" w14:textId="77777777" w:rsidR="00302BA5" w:rsidRPr="00302BA5" w:rsidRDefault="00302BA5" w:rsidP="00302BA5">
      <w:pPr>
        <w:pStyle w:val="Prrafodelista"/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302BA5">
        <w:rPr>
          <w:rFonts w:ascii="Calibri" w:hAnsi="Calibri" w:cs="Calibri"/>
          <w:sz w:val="24"/>
          <w:szCs w:val="24"/>
        </w:rPr>
        <w:t>Ambas líneas de negocio generaron ingresos por S/ 14 123 millones, lo que representó cerca del 65 % del total de ingresos registrados en el sector telecomunicaciones (S/ 21 772 millones).</w:t>
      </w:r>
    </w:p>
    <w:p w14:paraId="05363F0B" w14:textId="77777777" w:rsidR="000066B3" w:rsidRPr="00A913E6" w:rsidRDefault="000066B3" w:rsidP="000066B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F398173" w14:textId="77777777" w:rsidR="009A37B5" w:rsidRDefault="009A37B5" w:rsidP="009A37B5">
      <w:pPr>
        <w:spacing w:after="0" w:line="240" w:lineRule="auto"/>
        <w:ind w:left="11" w:hanging="11"/>
        <w:jc w:val="both"/>
        <w:rPr>
          <w:rFonts w:ascii="Calibri" w:hAnsi="Calibri" w:cs="Calibri"/>
          <w:sz w:val="24"/>
          <w:szCs w:val="24"/>
          <w:lang w:val="es-MX"/>
        </w:rPr>
      </w:pPr>
      <w:r w:rsidRPr="002823F0">
        <w:rPr>
          <w:rFonts w:ascii="Calibri" w:hAnsi="Calibri" w:cs="Calibri"/>
          <w:sz w:val="24"/>
          <w:szCs w:val="24"/>
          <w:lang w:val="es-MX"/>
        </w:rPr>
        <w:t xml:space="preserve">Al cierre de 2025, los ingresos </w:t>
      </w:r>
      <w:r>
        <w:rPr>
          <w:rFonts w:ascii="Calibri" w:hAnsi="Calibri" w:cs="Calibri"/>
          <w:sz w:val="24"/>
          <w:szCs w:val="24"/>
          <w:lang w:val="es-MX"/>
        </w:rPr>
        <w:t xml:space="preserve">totales </w:t>
      </w:r>
      <w:r w:rsidRPr="002823F0">
        <w:rPr>
          <w:rFonts w:ascii="Calibri" w:hAnsi="Calibri" w:cs="Calibri"/>
          <w:sz w:val="24"/>
          <w:szCs w:val="24"/>
          <w:lang w:val="es-MX"/>
        </w:rPr>
        <w:t>generados por el sector telecomunicaciones alcanzaron los S/</w:t>
      </w:r>
      <w:r>
        <w:rPr>
          <w:rFonts w:ascii="Calibri" w:hAnsi="Calibri" w:cs="Calibri"/>
          <w:sz w:val="24"/>
          <w:szCs w:val="24"/>
          <w:lang w:val="es-MX"/>
        </w:rPr>
        <w:t xml:space="preserve"> </w:t>
      </w:r>
      <w:r w:rsidRPr="002823F0">
        <w:rPr>
          <w:rFonts w:ascii="Calibri" w:hAnsi="Calibri" w:cs="Calibri"/>
          <w:sz w:val="24"/>
          <w:szCs w:val="24"/>
          <w:lang w:val="es-MX"/>
        </w:rPr>
        <w:t xml:space="preserve">21 772 millones, un 1.8 % más de lo registrados en 2024, impulsados por </w:t>
      </w:r>
      <w:r>
        <w:rPr>
          <w:rFonts w:ascii="Calibri" w:hAnsi="Calibri" w:cs="Calibri"/>
          <w:sz w:val="24"/>
          <w:szCs w:val="24"/>
          <w:lang w:val="es-MX"/>
        </w:rPr>
        <w:t xml:space="preserve">la dinámica de </w:t>
      </w:r>
      <w:r w:rsidRPr="002823F0">
        <w:rPr>
          <w:rFonts w:ascii="Calibri" w:hAnsi="Calibri" w:cs="Calibri"/>
          <w:sz w:val="24"/>
          <w:szCs w:val="24"/>
          <w:lang w:val="es-MX"/>
        </w:rPr>
        <w:t>los servicios móviles e internet fijo</w:t>
      </w:r>
      <w:r w:rsidRPr="00E5054F">
        <w:rPr>
          <w:rFonts w:ascii="Calibri" w:hAnsi="Calibri" w:cs="Calibri"/>
          <w:sz w:val="24"/>
          <w:szCs w:val="24"/>
          <w:lang w:val="es-MX"/>
        </w:rPr>
        <w:t xml:space="preserve">, informó el </w:t>
      </w:r>
      <w:r w:rsidRPr="002823F0">
        <w:rPr>
          <w:rFonts w:ascii="Calibri" w:hAnsi="Calibri" w:cs="Calibri"/>
          <w:b/>
          <w:bCs/>
          <w:sz w:val="24"/>
          <w:szCs w:val="24"/>
          <w:lang w:val="es-MX"/>
        </w:rPr>
        <w:t>Organismo Supervisor de Inversión Privada en Telecomunicaciones (OSIPTEL)</w:t>
      </w:r>
      <w:r w:rsidRPr="00E5054F">
        <w:rPr>
          <w:rFonts w:ascii="Calibri" w:hAnsi="Calibri" w:cs="Calibri"/>
          <w:sz w:val="24"/>
          <w:szCs w:val="24"/>
          <w:lang w:val="es-MX"/>
        </w:rPr>
        <w:t>.</w:t>
      </w:r>
    </w:p>
    <w:p w14:paraId="0C281C34" w14:textId="77777777" w:rsidR="009A37B5" w:rsidRPr="00E5054F" w:rsidRDefault="009A37B5" w:rsidP="009A37B5">
      <w:pPr>
        <w:spacing w:after="0" w:line="240" w:lineRule="auto"/>
        <w:ind w:left="11" w:hanging="11"/>
        <w:jc w:val="both"/>
        <w:rPr>
          <w:rFonts w:ascii="Calibri" w:hAnsi="Calibri" w:cs="Calibri"/>
          <w:sz w:val="24"/>
          <w:szCs w:val="24"/>
          <w:lang w:val="es-MX"/>
        </w:rPr>
      </w:pPr>
    </w:p>
    <w:p w14:paraId="79CEC171" w14:textId="77777777" w:rsidR="009A37B5" w:rsidRDefault="009A37B5" w:rsidP="009A37B5">
      <w:pPr>
        <w:spacing w:after="0" w:line="240" w:lineRule="auto"/>
        <w:ind w:left="11" w:hanging="11"/>
        <w:jc w:val="both"/>
        <w:rPr>
          <w:rFonts w:ascii="Calibri" w:hAnsi="Calibri" w:cs="Calibri"/>
          <w:sz w:val="24"/>
          <w:szCs w:val="24"/>
          <w:lang w:val="es-MX"/>
        </w:rPr>
      </w:pPr>
      <w:r w:rsidRPr="00DF0C19">
        <w:rPr>
          <w:rFonts w:ascii="Calibri" w:hAnsi="Calibri" w:cs="Calibri"/>
          <w:sz w:val="24"/>
          <w:szCs w:val="24"/>
          <w:lang w:val="es-MX"/>
        </w:rPr>
        <w:t xml:space="preserve">Específicamente, los </w:t>
      </w:r>
      <w:r w:rsidRPr="00302BA5">
        <w:rPr>
          <w:rFonts w:ascii="Calibri" w:hAnsi="Calibri" w:cs="Calibri"/>
          <w:b/>
          <w:sz w:val="24"/>
          <w:szCs w:val="24"/>
          <w:lang w:val="es-MX"/>
        </w:rPr>
        <w:t>ingresos de servicios móviles</w:t>
      </w:r>
      <w:r w:rsidRPr="00DF0C19">
        <w:rPr>
          <w:rFonts w:ascii="Calibri" w:hAnsi="Calibri" w:cs="Calibri"/>
          <w:bCs/>
          <w:sz w:val="24"/>
          <w:szCs w:val="24"/>
          <w:lang w:val="es-MX"/>
        </w:rPr>
        <w:t xml:space="preserve"> ascendieron a los S/ 10 372 millones, lo que significó un crecimiento de 5.6 %</w:t>
      </w:r>
      <w:r w:rsidRPr="00DF0C19">
        <w:rPr>
          <w:rFonts w:ascii="Calibri" w:hAnsi="Calibri" w:cs="Calibri"/>
          <w:sz w:val="24"/>
          <w:szCs w:val="24"/>
          <w:lang w:val="es-MX"/>
        </w:rPr>
        <w:t>,</w:t>
      </w:r>
      <w:r w:rsidRPr="00E5054F">
        <w:rPr>
          <w:rFonts w:ascii="Calibri" w:hAnsi="Calibri" w:cs="Calibri"/>
          <w:sz w:val="24"/>
          <w:szCs w:val="24"/>
          <w:lang w:val="es-MX"/>
        </w:rPr>
        <w:t xml:space="preserve"> </w:t>
      </w:r>
      <w:r>
        <w:rPr>
          <w:rFonts w:ascii="Calibri" w:hAnsi="Calibri" w:cs="Calibri"/>
          <w:sz w:val="24"/>
          <w:szCs w:val="24"/>
          <w:lang w:val="es-MX"/>
        </w:rPr>
        <w:t xml:space="preserve">esto </w:t>
      </w:r>
      <w:r w:rsidRPr="00E5054F">
        <w:rPr>
          <w:rFonts w:ascii="Calibri" w:hAnsi="Calibri" w:cs="Calibri"/>
          <w:sz w:val="24"/>
          <w:szCs w:val="24"/>
          <w:lang w:val="es-MX"/>
        </w:rPr>
        <w:t>como consecuencia de la mayor cantidad de líneas móviles en servicio correspondiente a la modalidad contrato (pospago y control), la cual pasó de 19.1 millones en 2024 a 21 millones en 2025; es decir, un crecimiento anual del 10.1 % entre ambos periodos.</w:t>
      </w:r>
    </w:p>
    <w:p w14:paraId="0BE001FE" w14:textId="77777777" w:rsidR="009A37B5" w:rsidRPr="00E5054F" w:rsidRDefault="009A37B5" w:rsidP="009A37B5">
      <w:pPr>
        <w:spacing w:after="0" w:line="240" w:lineRule="auto"/>
        <w:ind w:left="11" w:hanging="11"/>
        <w:jc w:val="both"/>
        <w:rPr>
          <w:rFonts w:ascii="Calibri" w:hAnsi="Calibri" w:cs="Calibri"/>
          <w:sz w:val="24"/>
          <w:szCs w:val="24"/>
          <w:lang w:val="es-MX"/>
        </w:rPr>
      </w:pPr>
    </w:p>
    <w:p w14:paraId="2BB91D27" w14:textId="77777777" w:rsidR="009A37B5" w:rsidRDefault="009A37B5" w:rsidP="009A37B5">
      <w:pPr>
        <w:spacing w:after="0" w:line="240" w:lineRule="auto"/>
        <w:ind w:left="11" w:hanging="11"/>
        <w:jc w:val="both"/>
        <w:rPr>
          <w:rFonts w:ascii="Calibri" w:hAnsi="Calibri" w:cs="Calibri"/>
          <w:sz w:val="24"/>
          <w:szCs w:val="24"/>
          <w:lang w:val="es-MX"/>
        </w:rPr>
      </w:pPr>
      <w:r w:rsidRPr="00E5054F">
        <w:rPr>
          <w:rFonts w:ascii="Calibri" w:hAnsi="Calibri" w:cs="Calibri"/>
          <w:sz w:val="24"/>
          <w:szCs w:val="24"/>
          <w:lang w:val="es-MX"/>
        </w:rPr>
        <w:t xml:space="preserve">Por su </w:t>
      </w:r>
      <w:r w:rsidRPr="00DF0C19">
        <w:rPr>
          <w:rFonts w:ascii="Calibri" w:hAnsi="Calibri" w:cs="Calibri"/>
          <w:sz w:val="24"/>
          <w:szCs w:val="24"/>
          <w:lang w:val="es-MX"/>
        </w:rPr>
        <w:t xml:space="preserve">parte, </w:t>
      </w:r>
      <w:r w:rsidRPr="00DF0C19">
        <w:rPr>
          <w:rFonts w:ascii="Calibri" w:hAnsi="Calibri" w:cs="Calibri"/>
          <w:bCs/>
          <w:sz w:val="24"/>
          <w:szCs w:val="24"/>
          <w:lang w:val="es-MX"/>
        </w:rPr>
        <w:t xml:space="preserve">los </w:t>
      </w:r>
      <w:r w:rsidRPr="00302BA5">
        <w:rPr>
          <w:rFonts w:ascii="Calibri" w:hAnsi="Calibri" w:cs="Calibri"/>
          <w:b/>
          <w:sz w:val="24"/>
          <w:szCs w:val="24"/>
          <w:lang w:val="es-MX"/>
        </w:rPr>
        <w:t>ingresos de internet fijo</w:t>
      </w:r>
      <w:r w:rsidRPr="00DF0C19">
        <w:rPr>
          <w:rFonts w:ascii="Calibri" w:hAnsi="Calibri" w:cs="Calibri"/>
          <w:bCs/>
          <w:sz w:val="24"/>
          <w:szCs w:val="24"/>
          <w:lang w:val="es-MX"/>
        </w:rPr>
        <w:t xml:space="preserve"> alcanzaron los S/ 3751 millones, reflejando un crecimiento de 5.8 %</w:t>
      </w:r>
      <w:r>
        <w:rPr>
          <w:rFonts w:ascii="Calibri" w:hAnsi="Calibri" w:cs="Calibri"/>
          <w:sz w:val="24"/>
          <w:szCs w:val="24"/>
          <w:lang w:val="es-MX"/>
        </w:rPr>
        <w:t>;</w:t>
      </w:r>
      <w:r w:rsidRPr="00E5054F">
        <w:rPr>
          <w:rFonts w:ascii="Calibri" w:hAnsi="Calibri" w:cs="Calibri"/>
          <w:sz w:val="24"/>
          <w:szCs w:val="24"/>
          <w:lang w:val="es-MX"/>
        </w:rPr>
        <w:t xml:space="preserve"> </w:t>
      </w:r>
      <w:r>
        <w:rPr>
          <w:rFonts w:ascii="Calibri" w:hAnsi="Calibri" w:cs="Calibri"/>
          <w:sz w:val="24"/>
          <w:szCs w:val="24"/>
          <w:lang w:val="es-MX"/>
        </w:rPr>
        <w:t xml:space="preserve">explicado por </w:t>
      </w:r>
      <w:r w:rsidRPr="00446145">
        <w:rPr>
          <w:rFonts w:ascii="Calibri" w:hAnsi="Calibri" w:cs="Calibri"/>
          <w:sz w:val="24"/>
          <w:szCs w:val="24"/>
          <w:lang w:val="es-MX"/>
        </w:rPr>
        <w:t xml:space="preserve">el mayor número de conexiones de internet fijo, </w:t>
      </w:r>
      <w:r>
        <w:rPr>
          <w:rFonts w:ascii="Calibri" w:hAnsi="Calibri" w:cs="Calibri"/>
          <w:sz w:val="24"/>
          <w:szCs w:val="24"/>
          <w:lang w:val="es-MX"/>
        </w:rPr>
        <w:t>que</w:t>
      </w:r>
      <w:r w:rsidRPr="00446145">
        <w:rPr>
          <w:rFonts w:ascii="Calibri" w:hAnsi="Calibri" w:cs="Calibri"/>
          <w:sz w:val="24"/>
          <w:szCs w:val="24"/>
          <w:lang w:val="es-MX"/>
        </w:rPr>
        <w:t xml:space="preserve"> superaron los</w:t>
      </w:r>
      <w:r w:rsidRPr="00E5054F">
        <w:rPr>
          <w:rFonts w:ascii="Calibri" w:hAnsi="Calibri" w:cs="Calibri"/>
          <w:sz w:val="24"/>
          <w:szCs w:val="24"/>
          <w:lang w:val="es-MX"/>
        </w:rPr>
        <w:t xml:space="preserve"> 4.3 millones al cierre de 2025, </w:t>
      </w:r>
      <w:r>
        <w:rPr>
          <w:rFonts w:ascii="Calibri" w:hAnsi="Calibri" w:cs="Calibri"/>
          <w:sz w:val="24"/>
          <w:szCs w:val="24"/>
          <w:lang w:val="es-MX"/>
        </w:rPr>
        <w:t>c</w:t>
      </w:r>
      <w:r w:rsidRPr="00444204">
        <w:rPr>
          <w:rFonts w:ascii="Calibri" w:hAnsi="Calibri" w:cs="Calibri"/>
          <w:sz w:val="24"/>
          <w:szCs w:val="24"/>
          <w:lang w:val="es-MX"/>
        </w:rPr>
        <w:t xml:space="preserve">on una </w:t>
      </w:r>
      <w:r>
        <w:rPr>
          <w:rFonts w:ascii="Calibri" w:hAnsi="Calibri" w:cs="Calibri"/>
          <w:sz w:val="24"/>
          <w:szCs w:val="24"/>
          <w:lang w:val="es-MX"/>
        </w:rPr>
        <w:t>notable</w:t>
      </w:r>
      <w:r w:rsidRPr="00444204">
        <w:rPr>
          <w:rFonts w:ascii="Calibri" w:hAnsi="Calibri" w:cs="Calibri"/>
          <w:sz w:val="24"/>
          <w:szCs w:val="24"/>
          <w:lang w:val="es-MX"/>
        </w:rPr>
        <w:t xml:space="preserve"> predominancia de la fibra óptica, la cual representó más </w:t>
      </w:r>
      <w:r w:rsidRPr="00E5054F">
        <w:rPr>
          <w:rFonts w:ascii="Calibri" w:hAnsi="Calibri" w:cs="Calibri"/>
          <w:sz w:val="24"/>
          <w:szCs w:val="24"/>
          <w:lang w:val="es-MX"/>
        </w:rPr>
        <w:t xml:space="preserve">del 82 % </w:t>
      </w:r>
      <w:r w:rsidRPr="00446145">
        <w:rPr>
          <w:rFonts w:ascii="Calibri" w:hAnsi="Calibri" w:cs="Calibri"/>
          <w:sz w:val="24"/>
          <w:szCs w:val="24"/>
          <w:lang w:val="es-MX"/>
        </w:rPr>
        <w:t>del total de conexiones de internet fijo en el país</w:t>
      </w:r>
      <w:r w:rsidRPr="00E5054F">
        <w:rPr>
          <w:rFonts w:ascii="Calibri" w:hAnsi="Calibri" w:cs="Calibri"/>
          <w:sz w:val="24"/>
          <w:szCs w:val="24"/>
          <w:lang w:val="es-MX"/>
        </w:rPr>
        <w:t>.</w:t>
      </w:r>
    </w:p>
    <w:p w14:paraId="77A03DA0" w14:textId="77777777" w:rsidR="009A37B5" w:rsidRPr="00E5054F" w:rsidRDefault="009A37B5" w:rsidP="009A37B5">
      <w:pPr>
        <w:spacing w:after="0" w:line="240" w:lineRule="auto"/>
        <w:ind w:left="11" w:hanging="11"/>
        <w:jc w:val="both"/>
        <w:rPr>
          <w:rFonts w:ascii="Calibri" w:hAnsi="Calibri" w:cs="Calibri"/>
          <w:sz w:val="24"/>
          <w:szCs w:val="24"/>
          <w:lang w:val="es-MX"/>
        </w:rPr>
      </w:pPr>
    </w:p>
    <w:p w14:paraId="596928DF" w14:textId="6E335E3B" w:rsidR="009A37B5" w:rsidRDefault="009A37B5" w:rsidP="009A37B5">
      <w:pPr>
        <w:spacing w:after="0" w:line="240" w:lineRule="auto"/>
        <w:ind w:left="11" w:hanging="11"/>
        <w:jc w:val="both"/>
        <w:rPr>
          <w:rFonts w:ascii="Calibri" w:hAnsi="Calibri" w:cs="Calibri"/>
          <w:sz w:val="24"/>
          <w:szCs w:val="24"/>
          <w:lang w:val="es-MX"/>
        </w:rPr>
      </w:pPr>
      <w:r w:rsidRPr="00E5054F">
        <w:rPr>
          <w:rFonts w:ascii="Calibri" w:hAnsi="Calibri" w:cs="Calibri"/>
          <w:sz w:val="24"/>
          <w:szCs w:val="24"/>
          <w:lang w:val="es-MX"/>
        </w:rPr>
        <w:t>En conjunto, ambos servicios aportaron cerca del 65 % de los ingresos del sector</w:t>
      </w:r>
      <w:r w:rsidR="00302BA5">
        <w:rPr>
          <w:rFonts w:ascii="Calibri" w:hAnsi="Calibri" w:cs="Calibri"/>
          <w:sz w:val="24"/>
          <w:szCs w:val="24"/>
          <w:lang w:val="es-MX"/>
        </w:rPr>
        <w:t xml:space="preserve"> telecomunicaciones</w:t>
      </w:r>
      <w:r w:rsidRPr="00E5054F">
        <w:rPr>
          <w:rFonts w:ascii="Calibri" w:hAnsi="Calibri" w:cs="Calibri"/>
          <w:sz w:val="24"/>
          <w:szCs w:val="24"/>
          <w:lang w:val="es-MX"/>
        </w:rPr>
        <w:t xml:space="preserve">, reflejando </w:t>
      </w:r>
      <w:r>
        <w:rPr>
          <w:rFonts w:ascii="Calibri" w:hAnsi="Calibri" w:cs="Calibri"/>
          <w:sz w:val="24"/>
          <w:szCs w:val="24"/>
          <w:lang w:val="es-MX"/>
        </w:rPr>
        <w:t xml:space="preserve">la atención a </w:t>
      </w:r>
      <w:r w:rsidRPr="00E5054F">
        <w:rPr>
          <w:rFonts w:ascii="Calibri" w:hAnsi="Calibri" w:cs="Calibri"/>
          <w:sz w:val="24"/>
          <w:szCs w:val="24"/>
          <w:lang w:val="es-MX"/>
        </w:rPr>
        <w:t>una demanda y confirmando su papel como motores de crecimiento.</w:t>
      </w:r>
    </w:p>
    <w:p w14:paraId="5F75AFA0" w14:textId="77777777" w:rsidR="009A37B5" w:rsidRDefault="009A37B5" w:rsidP="009A37B5">
      <w:pPr>
        <w:spacing w:after="0" w:line="240" w:lineRule="auto"/>
        <w:ind w:left="11" w:hanging="11"/>
        <w:rPr>
          <w:rFonts w:ascii="Calibri" w:hAnsi="Calibri" w:cs="Calibri"/>
          <w:sz w:val="24"/>
          <w:szCs w:val="24"/>
          <w:lang w:val="es-MX"/>
        </w:rPr>
      </w:pPr>
    </w:p>
    <w:p w14:paraId="3251D5B2" w14:textId="72091380" w:rsidR="009A37B5" w:rsidRDefault="009A37B5" w:rsidP="009A37B5">
      <w:pPr>
        <w:spacing w:after="0" w:line="240" w:lineRule="auto"/>
        <w:ind w:left="11" w:hanging="11"/>
        <w:rPr>
          <w:rFonts w:ascii="Calibri" w:hAnsi="Calibri" w:cs="Calibri"/>
          <w:sz w:val="24"/>
          <w:szCs w:val="24"/>
          <w:lang w:val="es-MX"/>
        </w:rPr>
      </w:pPr>
      <w:r>
        <w:rPr>
          <w:rFonts w:ascii="Calibri" w:hAnsi="Calibri" w:cs="Calibri"/>
          <w:noProof/>
          <w:sz w:val="24"/>
          <w:szCs w:val="24"/>
          <w:lang w:val="es-MX"/>
        </w:rPr>
        <w:drawing>
          <wp:inline distT="0" distB="0" distL="0" distR="0" wp14:anchorId="613DFF26" wp14:editId="5D23408B">
            <wp:extent cx="5400040" cy="3189605"/>
            <wp:effectExtent l="0" t="0" r="0" b="0"/>
            <wp:docPr id="12604573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457361" name="Imagen 12604573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8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FC99C" w14:textId="77777777" w:rsidR="009A37B5" w:rsidRDefault="009A37B5" w:rsidP="009A37B5">
      <w:pPr>
        <w:spacing w:after="0" w:line="240" w:lineRule="auto"/>
        <w:ind w:left="11" w:hanging="11"/>
        <w:jc w:val="both"/>
        <w:rPr>
          <w:rFonts w:ascii="Calibri" w:hAnsi="Calibri" w:cs="Calibri"/>
          <w:sz w:val="24"/>
          <w:szCs w:val="24"/>
          <w:lang w:val="es-MX"/>
        </w:rPr>
      </w:pPr>
      <w:r>
        <w:rPr>
          <w:rFonts w:ascii="Calibri" w:hAnsi="Calibri" w:cs="Calibri"/>
          <w:sz w:val="24"/>
          <w:szCs w:val="24"/>
          <w:lang w:val="es-MX"/>
        </w:rPr>
        <w:lastRenderedPageBreak/>
        <w:t xml:space="preserve">Es importante destacar que, </w:t>
      </w:r>
      <w:r w:rsidRPr="00AB4309">
        <w:rPr>
          <w:rFonts w:ascii="Calibri" w:hAnsi="Calibri" w:cs="Calibri"/>
          <w:sz w:val="24"/>
          <w:szCs w:val="24"/>
          <w:lang w:val="es-MX"/>
        </w:rPr>
        <w:t xml:space="preserve">sin considerar venta y alquiler de equipos, los ingresos </w:t>
      </w:r>
      <w:r w:rsidRPr="00AB4309">
        <w:rPr>
          <w:rFonts w:ascii="Calibri" w:hAnsi="Calibri" w:cs="Calibri"/>
          <w:sz w:val="24"/>
          <w:szCs w:val="24"/>
        </w:rPr>
        <w:t>correspondientes a servicios públicos de telecomunicaciones</w:t>
      </w:r>
      <w:r>
        <w:rPr>
          <w:rFonts w:ascii="Calibri" w:hAnsi="Calibri" w:cs="Calibri"/>
          <w:sz w:val="24"/>
          <w:szCs w:val="24"/>
        </w:rPr>
        <w:t xml:space="preserve"> </w:t>
      </w:r>
      <w:r w:rsidRPr="00AB4309">
        <w:rPr>
          <w:rFonts w:ascii="Calibri" w:hAnsi="Calibri" w:cs="Calibri"/>
          <w:sz w:val="24"/>
          <w:szCs w:val="24"/>
          <w:lang w:val="es-MX"/>
        </w:rPr>
        <w:t>crecieron en 2</w:t>
      </w:r>
      <w:r>
        <w:rPr>
          <w:rFonts w:ascii="Calibri" w:hAnsi="Calibri" w:cs="Calibri"/>
          <w:sz w:val="24"/>
          <w:szCs w:val="24"/>
          <w:lang w:val="es-MX"/>
        </w:rPr>
        <w:t>.</w:t>
      </w:r>
      <w:r w:rsidRPr="00AB4309">
        <w:rPr>
          <w:rFonts w:ascii="Calibri" w:hAnsi="Calibri" w:cs="Calibri"/>
          <w:sz w:val="24"/>
          <w:szCs w:val="24"/>
          <w:lang w:val="es-MX"/>
        </w:rPr>
        <w:t>5</w:t>
      </w:r>
      <w:r>
        <w:rPr>
          <w:rFonts w:ascii="Calibri" w:hAnsi="Calibri" w:cs="Calibri"/>
          <w:sz w:val="24"/>
          <w:szCs w:val="24"/>
          <w:lang w:val="es-MX"/>
        </w:rPr>
        <w:t xml:space="preserve"> </w:t>
      </w:r>
      <w:r w:rsidRPr="00AB4309">
        <w:rPr>
          <w:rFonts w:ascii="Calibri" w:hAnsi="Calibri" w:cs="Calibri"/>
          <w:sz w:val="24"/>
          <w:szCs w:val="24"/>
          <w:lang w:val="es-MX"/>
        </w:rPr>
        <w:t>%</w:t>
      </w:r>
      <w:r>
        <w:rPr>
          <w:rFonts w:ascii="Calibri" w:hAnsi="Calibri" w:cs="Calibri"/>
          <w:sz w:val="24"/>
          <w:szCs w:val="24"/>
          <w:lang w:val="es-MX"/>
        </w:rPr>
        <w:t>.</w:t>
      </w:r>
    </w:p>
    <w:p w14:paraId="29662523" w14:textId="21CB4895" w:rsidR="009A37B5" w:rsidRPr="00E5054F" w:rsidRDefault="009A37B5" w:rsidP="009A37B5">
      <w:pPr>
        <w:spacing w:after="0" w:line="240" w:lineRule="auto"/>
        <w:ind w:left="11" w:hanging="11"/>
        <w:rPr>
          <w:rFonts w:ascii="Calibri" w:hAnsi="Calibri" w:cs="Calibri"/>
          <w:sz w:val="24"/>
          <w:szCs w:val="24"/>
          <w:lang w:val="es-MX"/>
        </w:rPr>
      </w:pPr>
    </w:p>
    <w:p w14:paraId="24EB8838" w14:textId="77777777" w:rsidR="009A37B5" w:rsidRDefault="009A37B5" w:rsidP="009A37B5">
      <w:pPr>
        <w:spacing w:after="0" w:line="240" w:lineRule="auto"/>
        <w:ind w:left="11" w:hanging="11"/>
        <w:rPr>
          <w:rFonts w:ascii="Calibri" w:hAnsi="Calibri" w:cs="Calibri"/>
          <w:b/>
          <w:bCs/>
          <w:sz w:val="24"/>
          <w:szCs w:val="24"/>
          <w:lang w:val="es-MX"/>
        </w:rPr>
      </w:pPr>
      <w:r w:rsidRPr="00E5054F">
        <w:rPr>
          <w:rFonts w:ascii="Calibri" w:hAnsi="Calibri" w:cs="Calibri"/>
          <w:b/>
          <w:bCs/>
          <w:sz w:val="24"/>
          <w:szCs w:val="24"/>
          <w:lang w:val="es-MX"/>
        </w:rPr>
        <w:t>Inversiones</w:t>
      </w:r>
    </w:p>
    <w:p w14:paraId="0BF09D30" w14:textId="77777777" w:rsidR="009A37B5" w:rsidRDefault="009A37B5" w:rsidP="009A37B5">
      <w:pPr>
        <w:spacing w:after="0" w:line="240" w:lineRule="auto"/>
        <w:ind w:left="11" w:hanging="11"/>
        <w:rPr>
          <w:rFonts w:ascii="Calibri" w:hAnsi="Calibri" w:cs="Calibri"/>
          <w:b/>
          <w:bCs/>
          <w:sz w:val="24"/>
          <w:szCs w:val="24"/>
          <w:lang w:val="es-MX"/>
        </w:rPr>
      </w:pPr>
    </w:p>
    <w:p w14:paraId="7AD589C8" w14:textId="77777777" w:rsidR="009A37B5" w:rsidRDefault="009A37B5" w:rsidP="009A37B5">
      <w:pPr>
        <w:spacing w:after="0" w:line="240" w:lineRule="auto"/>
        <w:ind w:left="11" w:hanging="11"/>
        <w:jc w:val="both"/>
        <w:rPr>
          <w:rFonts w:ascii="Calibri" w:hAnsi="Calibri" w:cs="Calibri"/>
          <w:sz w:val="24"/>
          <w:szCs w:val="24"/>
          <w:lang w:val="es-MX"/>
        </w:rPr>
      </w:pPr>
      <w:r w:rsidRPr="00E5054F">
        <w:rPr>
          <w:rFonts w:ascii="Calibri" w:hAnsi="Calibri" w:cs="Calibri"/>
          <w:sz w:val="24"/>
          <w:szCs w:val="24"/>
          <w:lang w:val="es-MX"/>
        </w:rPr>
        <w:t xml:space="preserve">Según el informe </w:t>
      </w:r>
      <w:r w:rsidRPr="002823F0">
        <w:rPr>
          <w:rFonts w:ascii="Calibri" w:hAnsi="Calibri" w:cs="Calibri"/>
          <w:b/>
          <w:bCs/>
          <w:sz w:val="24"/>
          <w:szCs w:val="24"/>
          <w:lang w:val="es-MX"/>
        </w:rPr>
        <w:t>Análisis del Desempeño Financiero del Sector Telecomunicaciones 2025</w:t>
      </w:r>
      <w:r w:rsidRPr="00E5054F">
        <w:rPr>
          <w:rFonts w:ascii="Calibri" w:hAnsi="Calibri" w:cs="Calibri"/>
          <w:sz w:val="24"/>
          <w:szCs w:val="24"/>
          <w:lang w:val="es-MX"/>
        </w:rPr>
        <w:t xml:space="preserve">, elaborado por el </w:t>
      </w:r>
      <w:r w:rsidRPr="002823F0">
        <w:rPr>
          <w:rFonts w:ascii="Calibri" w:hAnsi="Calibri" w:cs="Calibri"/>
          <w:b/>
          <w:bCs/>
          <w:sz w:val="24"/>
          <w:szCs w:val="24"/>
          <w:lang w:val="es-MX"/>
        </w:rPr>
        <w:t>OSIPTEL</w:t>
      </w:r>
      <w:r w:rsidRPr="00E5054F">
        <w:rPr>
          <w:rFonts w:ascii="Calibri" w:hAnsi="Calibri" w:cs="Calibri"/>
          <w:sz w:val="24"/>
          <w:szCs w:val="24"/>
          <w:lang w:val="es-MX"/>
        </w:rPr>
        <w:t xml:space="preserve">, las inversiones del sector telecomunicaciones ascendieron a </w:t>
      </w:r>
      <w:r>
        <w:rPr>
          <w:rFonts w:ascii="Calibri" w:hAnsi="Calibri" w:cs="Calibri"/>
          <w:sz w:val="24"/>
          <w:szCs w:val="24"/>
          <w:lang w:val="es-MX"/>
        </w:rPr>
        <w:t xml:space="preserve">los </w:t>
      </w:r>
      <w:r w:rsidRPr="00E5054F">
        <w:rPr>
          <w:rFonts w:ascii="Calibri" w:hAnsi="Calibri" w:cs="Calibri"/>
          <w:sz w:val="24"/>
          <w:szCs w:val="24"/>
          <w:lang w:val="es-MX"/>
        </w:rPr>
        <w:t>S/ 3 948 millones al cierre de 2025, con estos resultados se continuó superando los mil millones de dólares.</w:t>
      </w:r>
    </w:p>
    <w:p w14:paraId="6D13BBC2" w14:textId="77777777" w:rsidR="009A37B5" w:rsidRPr="00E5054F" w:rsidRDefault="009A37B5" w:rsidP="009A37B5">
      <w:pPr>
        <w:spacing w:after="0" w:line="240" w:lineRule="auto"/>
        <w:ind w:left="11" w:hanging="11"/>
        <w:jc w:val="both"/>
        <w:rPr>
          <w:rFonts w:ascii="Calibri" w:hAnsi="Calibri" w:cs="Calibri"/>
          <w:sz w:val="24"/>
          <w:szCs w:val="24"/>
          <w:lang w:val="es-MX"/>
        </w:rPr>
      </w:pPr>
    </w:p>
    <w:p w14:paraId="2916F64B" w14:textId="77777777" w:rsidR="009A37B5" w:rsidRDefault="009A37B5" w:rsidP="009A37B5">
      <w:pPr>
        <w:spacing w:after="0" w:line="240" w:lineRule="auto"/>
        <w:ind w:left="11" w:hanging="11"/>
        <w:jc w:val="both"/>
        <w:rPr>
          <w:rFonts w:ascii="Calibri" w:hAnsi="Calibri" w:cs="Calibri"/>
          <w:sz w:val="24"/>
          <w:szCs w:val="24"/>
          <w:lang w:val="es-MX"/>
        </w:rPr>
      </w:pPr>
      <w:r>
        <w:rPr>
          <w:rFonts w:ascii="Calibri" w:hAnsi="Calibri" w:cs="Calibri"/>
          <w:sz w:val="24"/>
          <w:szCs w:val="24"/>
          <w:lang w:val="es-MX"/>
        </w:rPr>
        <w:t>En cuanto a la estructura de las inversiones a nivel de empresas operadoras</w:t>
      </w:r>
      <w:r w:rsidRPr="00E5054F">
        <w:rPr>
          <w:rFonts w:ascii="Calibri" w:hAnsi="Calibri" w:cs="Calibri"/>
          <w:sz w:val="24"/>
          <w:szCs w:val="24"/>
          <w:lang w:val="es-MX"/>
        </w:rPr>
        <w:t xml:space="preserve">, </w:t>
      </w:r>
      <w:r w:rsidRPr="00FA5DD2">
        <w:rPr>
          <w:rFonts w:ascii="Calibri" w:hAnsi="Calibri" w:cs="Calibri"/>
          <w:b/>
          <w:bCs/>
          <w:sz w:val="24"/>
          <w:szCs w:val="24"/>
          <w:lang w:val="es-MX"/>
        </w:rPr>
        <w:t>Claro</w:t>
      </w:r>
      <w:r w:rsidRPr="00E5054F">
        <w:rPr>
          <w:rFonts w:ascii="Calibri" w:hAnsi="Calibri" w:cs="Calibri"/>
          <w:sz w:val="24"/>
          <w:szCs w:val="24"/>
          <w:lang w:val="es-MX"/>
        </w:rPr>
        <w:t xml:space="preserve"> destacó como la empresa con el mayor nivel de inversiones en el sector, concentrando el 35.7 % durante el 2025; seguida por </w:t>
      </w:r>
      <w:r w:rsidRPr="00DF0C19">
        <w:rPr>
          <w:rFonts w:ascii="Calibri" w:hAnsi="Calibri" w:cs="Calibri"/>
          <w:b/>
          <w:bCs/>
          <w:sz w:val="24"/>
          <w:szCs w:val="24"/>
          <w:lang w:val="es-MX"/>
        </w:rPr>
        <w:t xml:space="preserve">Grupo </w:t>
      </w:r>
      <w:r w:rsidRPr="00FA5DD2">
        <w:rPr>
          <w:rFonts w:ascii="Calibri" w:hAnsi="Calibri" w:cs="Calibri"/>
          <w:b/>
          <w:bCs/>
          <w:sz w:val="24"/>
          <w:szCs w:val="24"/>
          <w:lang w:val="es-MX"/>
        </w:rPr>
        <w:t xml:space="preserve">Entel </w:t>
      </w:r>
      <w:r w:rsidRPr="00DF0C19">
        <w:rPr>
          <w:rFonts w:ascii="Calibri" w:hAnsi="Calibri" w:cs="Calibri"/>
          <w:bCs/>
          <w:sz w:val="24"/>
          <w:szCs w:val="24"/>
          <w:lang w:val="es-MX"/>
        </w:rPr>
        <w:t>(conformado por Entel y Americatel</w:t>
      </w:r>
      <w:r w:rsidRPr="00AB4309">
        <w:rPr>
          <w:rFonts w:ascii="Calibri" w:hAnsi="Calibri" w:cs="Calibri"/>
          <w:b/>
          <w:bCs/>
          <w:sz w:val="24"/>
          <w:szCs w:val="24"/>
          <w:lang w:val="es-MX"/>
        </w:rPr>
        <w:t xml:space="preserve"> </w:t>
      </w:r>
      <w:r w:rsidRPr="00E5054F">
        <w:rPr>
          <w:rFonts w:ascii="Calibri" w:hAnsi="Calibri" w:cs="Calibri"/>
          <w:sz w:val="24"/>
          <w:szCs w:val="24"/>
          <w:lang w:val="es-MX"/>
        </w:rPr>
        <w:t xml:space="preserve">y </w:t>
      </w:r>
      <w:r w:rsidRPr="00FA5DD2">
        <w:rPr>
          <w:rFonts w:ascii="Calibri" w:hAnsi="Calibri" w:cs="Calibri"/>
          <w:b/>
          <w:bCs/>
          <w:sz w:val="24"/>
          <w:szCs w:val="24"/>
          <w:lang w:val="es-MX"/>
        </w:rPr>
        <w:t>Bitel</w:t>
      </w:r>
      <w:r w:rsidRPr="00E5054F">
        <w:rPr>
          <w:rFonts w:ascii="Calibri" w:hAnsi="Calibri" w:cs="Calibri"/>
          <w:sz w:val="24"/>
          <w:szCs w:val="24"/>
          <w:lang w:val="es-MX"/>
        </w:rPr>
        <w:t xml:space="preserve"> con el 15.8 % y 10.7 %, respectivamente.</w:t>
      </w:r>
      <w:r>
        <w:rPr>
          <w:rFonts w:ascii="Calibri" w:hAnsi="Calibri" w:cs="Calibri"/>
          <w:sz w:val="24"/>
          <w:szCs w:val="24"/>
          <w:lang w:val="es-MX"/>
        </w:rPr>
        <w:t xml:space="preserve"> </w:t>
      </w:r>
      <w:r w:rsidRPr="00E5054F">
        <w:rPr>
          <w:rFonts w:ascii="Calibri" w:hAnsi="Calibri" w:cs="Calibri"/>
          <w:sz w:val="24"/>
          <w:szCs w:val="24"/>
          <w:lang w:val="es-MX"/>
        </w:rPr>
        <w:t xml:space="preserve">Por su parte, </w:t>
      </w:r>
      <w:r w:rsidRPr="00FA5DD2">
        <w:rPr>
          <w:rFonts w:ascii="Calibri" w:hAnsi="Calibri" w:cs="Calibri"/>
          <w:b/>
          <w:bCs/>
          <w:sz w:val="24"/>
          <w:szCs w:val="24"/>
          <w:lang w:val="es-MX"/>
        </w:rPr>
        <w:t>Integratel Perú</w:t>
      </w:r>
      <w:r w:rsidRPr="00E5054F">
        <w:rPr>
          <w:rFonts w:ascii="Calibri" w:hAnsi="Calibri" w:cs="Calibri"/>
          <w:sz w:val="24"/>
          <w:szCs w:val="24"/>
          <w:lang w:val="es-MX"/>
        </w:rPr>
        <w:t xml:space="preserve"> quedó en la cuarta posición con 10.6 % de participación</w:t>
      </w:r>
      <w:r>
        <w:rPr>
          <w:rFonts w:ascii="Calibri" w:hAnsi="Calibri" w:cs="Calibri"/>
          <w:sz w:val="24"/>
          <w:szCs w:val="24"/>
          <w:lang w:val="es-MX"/>
        </w:rPr>
        <w:t xml:space="preserve"> y </w:t>
      </w:r>
      <w:r w:rsidRPr="00FA5DD2">
        <w:rPr>
          <w:rFonts w:ascii="Calibri" w:hAnsi="Calibri" w:cs="Calibri"/>
          <w:b/>
          <w:bCs/>
          <w:sz w:val="24"/>
          <w:szCs w:val="24"/>
          <w:lang w:val="es-MX"/>
        </w:rPr>
        <w:t>Win</w:t>
      </w:r>
      <w:r w:rsidRPr="00E5054F">
        <w:rPr>
          <w:rFonts w:ascii="Calibri" w:hAnsi="Calibri" w:cs="Calibri"/>
          <w:sz w:val="24"/>
          <w:szCs w:val="24"/>
          <w:lang w:val="es-MX"/>
        </w:rPr>
        <w:t xml:space="preserve"> continuó con su senda creciente </w:t>
      </w:r>
      <w:r>
        <w:rPr>
          <w:rFonts w:ascii="Calibri" w:hAnsi="Calibri" w:cs="Calibri"/>
          <w:sz w:val="24"/>
          <w:szCs w:val="24"/>
          <w:lang w:val="es-MX"/>
        </w:rPr>
        <w:t>al obtener</w:t>
      </w:r>
      <w:r w:rsidRPr="00E5054F">
        <w:rPr>
          <w:rFonts w:ascii="Calibri" w:hAnsi="Calibri" w:cs="Calibri"/>
          <w:sz w:val="24"/>
          <w:szCs w:val="24"/>
          <w:lang w:val="es-MX"/>
        </w:rPr>
        <w:t xml:space="preserve"> 6.8 %</w:t>
      </w:r>
      <w:r>
        <w:rPr>
          <w:rFonts w:ascii="Calibri" w:hAnsi="Calibri" w:cs="Calibri"/>
          <w:sz w:val="24"/>
          <w:szCs w:val="24"/>
          <w:lang w:val="es-MX"/>
        </w:rPr>
        <w:t>.</w:t>
      </w:r>
    </w:p>
    <w:p w14:paraId="70F3559D" w14:textId="77777777" w:rsidR="009A37B5" w:rsidRPr="00E5054F" w:rsidRDefault="009A37B5" w:rsidP="009A37B5">
      <w:pPr>
        <w:spacing w:after="0" w:line="240" w:lineRule="auto"/>
        <w:ind w:left="11" w:hanging="11"/>
        <w:jc w:val="both"/>
        <w:rPr>
          <w:rFonts w:ascii="Calibri" w:hAnsi="Calibri" w:cs="Calibri"/>
          <w:sz w:val="24"/>
          <w:szCs w:val="24"/>
          <w:lang w:val="es-MX"/>
        </w:rPr>
      </w:pPr>
    </w:p>
    <w:p w14:paraId="33185F13" w14:textId="65200968" w:rsidR="000066B3" w:rsidRDefault="009A37B5" w:rsidP="009A37B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s-MX"/>
        </w:rPr>
        <w:t>En conjunto, las principales empresas operadoras</w:t>
      </w:r>
      <w:r w:rsidRPr="00E5054F">
        <w:rPr>
          <w:rFonts w:ascii="Calibri" w:hAnsi="Calibri" w:cs="Calibri"/>
          <w:sz w:val="24"/>
          <w:szCs w:val="24"/>
          <w:lang w:val="es-MX"/>
        </w:rPr>
        <w:t xml:space="preserve"> </w:t>
      </w:r>
      <w:r w:rsidRPr="002823F0">
        <w:rPr>
          <w:rFonts w:ascii="Calibri" w:hAnsi="Calibri" w:cs="Calibri"/>
          <w:b/>
          <w:bCs/>
          <w:sz w:val="24"/>
          <w:szCs w:val="24"/>
          <w:lang w:val="es-MX"/>
        </w:rPr>
        <w:t>Claro</w:t>
      </w:r>
      <w:r w:rsidRPr="00E5054F">
        <w:rPr>
          <w:rFonts w:ascii="Calibri" w:hAnsi="Calibri" w:cs="Calibri"/>
          <w:sz w:val="24"/>
          <w:szCs w:val="24"/>
          <w:lang w:val="es-MX"/>
        </w:rPr>
        <w:t xml:space="preserve">, </w:t>
      </w:r>
      <w:r w:rsidRPr="002823F0">
        <w:rPr>
          <w:rFonts w:ascii="Calibri" w:hAnsi="Calibri" w:cs="Calibri"/>
          <w:b/>
          <w:bCs/>
          <w:sz w:val="24"/>
          <w:szCs w:val="24"/>
          <w:lang w:val="es-MX"/>
        </w:rPr>
        <w:t>Integratel Perú</w:t>
      </w:r>
      <w:r w:rsidRPr="00E5054F">
        <w:rPr>
          <w:rFonts w:ascii="Calibri" w:hAnsi="Calibri" w:cs="Calibri"/>
          <w:sz w:val="24"/>
          <w:szCs w:val="24"/>
          <w:lang w:val="es-MX"/>
        </w:rPr>
        <w:t xml:space="preserve">, </w:t>
      </w:r>
      <w:r w:rsidRPr="00DF0C19">
        <w:rPr>
          <w:rFonts w:ascii="Calibri" w:hAnsi="Calibri" w:cs="Calibri"/>
          <w:b/>
          <w:bCs/>
          <w:sz w:val="24"/>
          <w:szCs w:val="24"/>
          <w:lang w:val="es-MX"/>
        </w:rPr>
        <w:t xml:space="preserve">Grupo </w:t>
      </w:r>
      <w:r w:rsidRPr="002823F0">
        <w:rPr>
          <w:rFonts w:ascii="Calibri" w:hAnsi="Calibri" w:cs="Calibri"/>
          <w:b/>
          <w:bCs/>
          <w:sz w:val="24"/>
          <w:szCs w:val="24"/>
          <w:lang w:val="es-MX"/>
        </w:rPr>
        <w:t>Entel</w:t>
      </w:r>
      <w:r w:rsidRPr="00E5054F">
        <w:rPr>
          <w:rFonts w:ascii="Calibri" w:hAnsi="Calibri" w:cs="Calibri"/>
          <w:sz w:val="24"/>
          <w:szCs w:val="24"/>
          <w:lang w:val="es-MX"/>
        </w:rPr>
        <w:t xml:space="preserve">, </w:t>
      </w:r>
      <w:r w:rsidRPr="002823F0">
        <w:rPr>
          <w:rFonts w:ascii="Calibri" w:hAnsi="Calibri" w:cs="Calibri"/>
          <w:b/>
          <w:bCs/>
          <w:sz w:val="24"/>
          <w:szCs w:val="24"/>
          <w:lang w:val="es-MX"/>
        </w:rPr>
        <w:t>Bitel</w:t>
      </w:r>
      <w:r w:rsidRPr="00E5054F">
        <w:rPr>
          <w:rFonts w:ascii="Calibri" w:hAnsi="Calibri" w:cs="Calibri"/>
          <w:sz w:val="24"/>
          <w:szCs w:val="24"/>
          <w:lang w:val="es-MX"/>
        </w:rPr>
        <w:t xml:space="preserve"> y </w:t>
      </w:r>
      <w:r w:rsidRPr="002823F0">
        <w:rPr>
          <w:rFonts w:ascii="Calibri" w:hAnsi="Calibri" w:cs="Calibri"/>
          <w:b/>
          <w:bCs/>
          <w:sz w:val="24"/>
          <w:szCs w:val="24"/>
          <w:lang w:val="es-MX"/>
        </w:rPr>
        <w:t>Win</w:t>
      </w:r>
      <w:r w:rsidRPr="00E5054F">
        <w:rPr>
          <w:rFonts w:ascii="Calibri" w:hAnsi="Calibri" w:cs="Calibri"/>
          <w:sz w:val="24"/>
          <w:szCs w:val="24"/>
          <w:lang w:val="es-MX"/>
        </w:rPr>
        <w:t xml:space="preserve"> crecieron en 4.4 %.</w:t>
      </w:r>
      <w:r>
        <w:rPr>
          <w:rFonts w:ascii="Calibri" w:hAnsi="Calibri" w:cs="Calibri"/>
          <w:sz w:val="24"/>
          <w:szCs w:val="24"/>
          <w:lang w:val="es-MX"/>
        </w:rPr>
        <w:t xml:space="preserve"> Por su parte, l</w:t>
      </w:r>
      <w:r w:rsidRPr="00E5054F">
        <w:rPr>
          <w:rFonts w:ascii="Calibri" w:hAnsi="Calibri" w:cs="Calibri"/>
          <w:sz w:val="24"/>
          <w:szCs w:val="24"/>
          <w:lang w:val="es-MX"/>
        </w:rPr>
        <w:t>as empresas operadoras de menor tamaño moderaron sus niveles de inversión, luego de haber efectuado, en los últimos años, importantes desembolsos de capital para la expansión de infraestructura</w:t>
      </w:r>
      <w:r>
        <w:rPr>
          <w:rFonts w:ascii="Calibri" w:hAnsi="Calibri" w:cs="Calibri"/>
          <w:sz w:val="24"/>
          <w:szCs w:val="24"/>
          <w:lang w:val="es-MX"/>
        </w:rPr>
        <w:t xml:space="preserve"> en el sector</w:t>
      </w:r>
      <w:r w:rsidRPr="00E5054F">
        <w:rPr>
          <w:rFonts w:ascii="Calibri" w:hAnsi="Calibri" w:cs="Calibri"/>
          <w:sz w:val="24"/>
          <w:szCs w:val="24"/>
          <w:lang w:val="es-MX"/>
        </w:rPr>
        <w:t>.</w:t>
      </w:r>
    </w:p>
    <w:p w14:paraId="49041B37" w14:textId="77777777" w:rsidR="000066B3" w:rsidRDefault="000066B3" w:rsidP="000066B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D94F97A" w14:textId="77777777" w:rsidR="000066B3" w:rsidRDefault="000066B3" w:rsidP="000066B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73397C3" w14:textId="0A4450A2" w:rsidR="000066B3" w:rsidRPr="001346FE" w:rsidRDefault="000066B3" w:rsidP="000066B3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1346FE">
        <w:rPr>
          <w:rFonts w:ascii="Calibri" w:hAnsi="Calibri" w:cs="Calibri"/>
          <w:b/>
          <w:bCs/>
          <w:sz w:val="24"/>
          <w:szCs w:val="24"/>
        </w:rPr>
        <w:t xml:space="preserve">Lima, </w:t>
      </w:r>
      <w:r w:rsidR="009A37B5">
        <w:rPr>
          <w:rFonts w:ascii="Calibri" w:hAnsi="Calibri" w:cs="Calibri"/>
          <w:b/>
          <w:bCs/>
          <w:sz w:val="24"/>
          <w:szCs w:val="24"/>
        </w:rPr>
        <w:t>2</w:t>
      </w:r>
      <w:r w:rsidRPr="001346FE">
        <w:rPr>
          <w:rFonts w:ascii="Calibri" w:hAnsi="Calibri" w:cs="Calibri"/>
          <w:b/>
          <w:bCs/>
          <w:sz w:val="24"/>
          <w:szCs w:val="24"/>
        </w:rPr>
        <w:t xml:space="preserve"> de </w:t>
      </w:r>
      <w:r>
        <w:rPr>
          <w:rFonts w:ascii="Calibri" w:hAnsi="Calibri" w:cs="Calibri"/>
          <w:b/>
          <w:bCs/>
          <w:sz w:val="24"/>
          <w:szCs w:val="24"/>
        </w:rPr>
        <w:t>junio</w:t>
      </w:r>
      <w:r w:rsidRPr="001346FE">
        <w:rPr>
          <w:rFonts w:ascii="Calibri" w:hAnsi="Calibri" w:cs="Calibri"/>
          <w:b/>
          <w:bCs/>
          <w:sz w:val="24"/>
          <w:szCs w:val="24"/>
        </w:rPr>
        <w:t xml:space="preserve"> de 2026</w:t>
      </w:r>
    </w:p>
    <w:p w14:paraId="3151D088" w14:textId="77777777" w:rsidR="000066B3" w:rsidRDefault="000066B3" w:rsidP="000066B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719371E" w14:textId="5295509A" w:rsidR="000549E7" w:rsidRPr="00514295" w:rsidRDefault="000549E7" w:rsidP="00501C91">
      <w:pPr>
        <w:spacing w:after="0" w:line="240" w:lineRule="auto"/>
        <w:jc w:val="right"/>
        <w:rPr>
          <w:rFonts w:cstheme="minorHAnsi"/>
          <w:b/>
          <w:color w:val="212529"/>
          <w:sz w:val="24"/>
          <w:szCs w:val="24"/>
          <w:lang w:val="es-ES"/>
        </w:rPr>
      </w:pPr>
    </w:p>
    <w:sectPr w:rsidR="000549E7" w:rsidRPr="0051429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99E1C" w14:textId="77777777" w:rsidR="00F976EC" w:rsidRDefault="00F976EC" w:rsidP="0015184D">
      <w:pPr>
        <w:spacing w:after="0" w:line="240" w:lineRule="auto"/>
      </w:pPr>
      <w:r>
        <w:separator/>
      </w:r>
    </w:p>
  </w:endnote>
  <w:endnote w:type="continuationSeparator" w:id="0">
    <w:p w14:paraId="142601A5" w14:textId="77777777" w:rsidR="00F976EC" w:rsidRDefault="00F976EC" w:rsidP="00151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AD00" w14:textId="206B6C90" w:rsidR="00904750" w:rsidRDefault="00904750">
    <w:pPr>
      <w:pStyle w:val="Piedepgina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5430A6C8" wp14:editId="10F6692D">
          <wp:simplePos x="0" y="0"/>
          <wp:positionH relativeFrom="page">
            <wp:posOffset>-5715</wp:posOffset>
          </wp:positionH>
          <wp:positionV relativeFrom="paragraph">
            <wp:posOffset>-333375</wp:posOffset>
          </wp:positionV>
          <wp:extent cx="7581264" cy="944880"/>
          <wp:effectExtent l="0" t="0" r="127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86988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90" b="-11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32CC9" w14:textId="77777777" w:rsidR="00F976EC" w:rsidRDefault="00F976EC" w:rsidP="0015184D">
      <w:pPr>
        <w:spacing w:after="0" w:line="240" w:lineRule="auto"/>
      </w:pPr>
      <w:r>
        <w:separator/>
      </w:r>
    </w:p>
  </w:footnote>
  <w:footnote w:type="continuationSeparator" w:id="0">
    <w:p w14:paraId="44206E84" w14:textId="77777777" w:rsidR="00F976EC" w:rsidRDefault="00F976EC" w:rsidP="00151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1428" w14:textId="77DBC277" w:rsidR="0015184D" w:rsidRDefault="0015184D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44C058B9" wp14:editId="25CE1961">
          <wp:simplePos x="0" y="0"/>
          <wp:positionH relativeFrom="page">
            <wp:posOffset>-5715</wp:posOffset>
          </wp:positionH>
          <wp:positionV relativeFrom="paragraph">
            <wp:posOffset>-504746</wp:posOffset>
          </wp:positionV>
          <wp:extent cx="7581264" cy="944880"/>
          <wp:effectExtent l="0" t="0" r="127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106173" name="Imagen 191010617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18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036"/>
    <w:multiLevelType w:val="hybridMultilevel"/>
    <w:tmpl w:val="27426CC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264C3"/>
    <w:multiLevelType w:val="hybridMultilevel"/>
    <w:tmpl w:val="9B82592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B74"/>
    <w:multiLevelType w:val="hybridMultilevel"/>
    <w:tmpl w:val="E918DC6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8A2565"/>
    <w:multiLevelType w:val="hybridMultilevel"/>
    <w:tmpl w:val="8246518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673DFF"/>
    <w:multiLevelType w:val="hybridMultilevel"/>
    <w:tmpl w:val="39C6F076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" w15:restartNumberingAfterBreak="0">
    <w:nsid w:val="097C0DE1"/>
    <w:multiLevelType w:val="hybridMultilevel"/>
    <w:tmpl w:val="2E249F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E538C4"/>
    <w:multiLevelType w:val="hybridMultilevel"/>
    <w:tmpl w:val="081C751E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 w15:restartNumberingAfterBreak="0">
    <w:nsid w:val="10886578"/>
    <w:multiLevelType w:val="hybridMultilevel"/>
    <w:tmpl w:val="D892F2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3600C"/>
    <w:multiLevelType w:val="hybridMultilevel"/>
    <w:tmpl w:val="06E28A0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A06FCC"/>
    <w:multiLevelType w:val="hybridMultilevel"/>
    <w:tmpl w:val="4640526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CE209C"/>
    <w:multiLevelType w:val="hybridMultilevel"/>
    <w:tmpl w:val="782838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02855"/>
    <w:multiLevelType w:val="hybridMultilevel"/>
    <w:tmpl w:val="E8107136"/>
    <w:lvl w:ilvl="0" w:tplc="280A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2" w15:restartNumberingAfterBreak="0">
    <w:nsid w:val="1CBF76DB"/>
    <w:multiLevelType w:val="hybridMultilevel"/>
    <w:tmpl w:val="253E05E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F15179"/>
    <w:multiLevelType w:val="hybridMultilevel"/>
    <w:tmpl w:val="BFB2B6A6"/>
    <w:lvl w:ilvl="0" w:tplc="280A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4" w15:restartNumberingAfterBreak="0">
    <w:nsid w:val="2A3F6609"/>
    <w:multiLevelType w:val="hybridMultilevel"/>
    <w:tmpl w:val="679A12C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B80F94"/>
    <w:multiLevelType w:val="hybridMultilevel"/>
    <w:tmpl w:val="A85A347C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6" w15:restartNumberingAfterBreak="0">
    <w:nsid w:val="2F48105A"/>
    <w:multiLevelType w:val="hybridMultilevel"/>
    <w:tmpl w:val="FEEE9CF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911A00"/>
    <w:multiLevelType w:val="hybridMultilevel"/>
    <w:tmpl w:val="7070DED2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39414175"/>
    <w:multiLevelType w:val="hybridMultilevel"/>
    <w:tmpl w:val="C6F42D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B2146"/>
    <w:multiLevelType w:val="hybridMultilevel"/>
    <w:tmpl w:val="4724A98C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0" w15:restartNumberingAfterBreak="0">
    <w:nsid w:val="5B8C41AA"/>
    <w:multiLevelType w:val="hybridMultilevel"/>
    <w:tmpl w:val="92DEEE1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CE24A8"/>
    <w:multiLevelType w:val="hybridMultilevel"/>
    <w:tmpl w:val="DE923B9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E72806"/>
    <w:multiLevelType w:val="hybridMultilevel"/>
    <w:tmpl w:val="519A1A7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E97900"/>
    <w:multiLevelType w:val="hybridMultilevel"/>
    <w:tmpl w:val="792E4F76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4" w15:restartNumberingAfterBreak="0">
    <w:nsid w:val="64475266"/>
    <w:multiLevelType w:val="hybridMultilevel"/>
    <w:tmpl w:val="B442C610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5" w15:restartNumberingAfterBreak="0">
    <w:nsid w:val="7AE0317E"/>
    <w:multiLevelType w:val="hybridMultilevel"/>
    <w:tmpl w:val="C0CE4AB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75420A"/>
    <w:multiLevelType w:val="hybridMultilevel"/>
    <w:tmpl w:val="678A8012"/>
    <w:lvl w:ilvl="0" w:tplc="280A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num w:numId="1" w16cid:durableId="92870892">
    <w:abstractNumId w:val="21"/>
  </w:num>
  <w:num w:numId="2" w16cid:durableId="377247193">
    <w:abstractNumId w:val="23"/>
  </w:num>
  <w:num w:numId="3" w16cid:durableId="1790051303">
    <w:abstractNumId w:val="24"/>
  </w:num>
  <w:num w:numId="4" w16cid:durableId="1794517374">
    <w:abstractNumId w:val="3"/>
  </w:num>
  <w:num w:numId="5" w16cid:durableId="1725786873">
    <w:abstractNumId w:val="22"/>
  </w:num>
  <w:num w:numId="6" w16cid:durableId="1385106130">
    <w:abstractNumId w:val="19"/>
  </w:num>
  <w:num w:numId="7" w16cid:durableId="941760379">
    <w:abstractNumId w:val="2"/>
  </w:num>
  <w:num w:numId="8" w16cid:durableId="1866941244">
    <w:abstractNumId w:val="16"/>
  </w:num>
  <w:num w:numId="9" w16cid:durableId="1552233963">
    <w:abstractNumId w:val="4"/>
  </w:num>
  <w:num w:numId="10" w16cid:durableId="1419250172">
    <w:abstractNumId w:val="11"/>
  </w:num>
  <w:num w:numId="11" w16cid:durableId="634683093">
    <w:abstractNumId w:val="26"/>
  </w:num>
  <w:num w:numId="12" w16cid:durableId="257906782">
    <w:abstractNumId w:val="7"/>
  </w:num>
  <w:num w:numId="13" w16cid:durableId="1081872622">
    <w:abstractNumId w:val="1"/>
  </w:num>
  <w:num w:numId="14" w16cid:durableId="291330797">
    <w:abstractNumId w:val="5"/>
  </w:num>
  <w:num w:numId="15" w16cid:durableId="639503561">
    <w:abstractNumId w:val="18"/>
  </w:num>
  <w:num w:numId="16" w16cid:durableId="1487093766">
    <w:abstractNumId w:val="6"/>
  </w:num>
  <w:num w:numId="17" w16cid:durableId="658994981">
    <w:abstractNumId w:val="0"/>
  </w:num>
  <w:num w:numId="18" w16cid:durableId="1083838285">
    <w:abstractNumId w:val="15"/>
  </w:num>
  <w:num w:numId="19" w16cid:durableId="284654119">
    <w:abstractNumId w:val="20"/>
  </w:num>
  <w:num w:numId="20" w16cid:durableId="1378122181">
    <w:abstractNumId w:val="17"/>
  </w:num>
  <w:num w:numId="21" w16cid:durableId="842628157">
    <w:abstractNumId w:val="25"/>
  </w:num>
  <w:num w:numId="22" w16cid:durableId="909660423">
    <w:abstractNumId w:val="9"/>
  </w:num>
  <w:num w:numId="23" w16cid:durableId="402995598">
    <w:abstractNumId w:val="12"/>
  </w:num>
  <w:num w:numId="24" w16cid:durableId="2074280118">
    <w:abstractNumId w:val="14"/>
  </w:num>
  <w:num w:numId="25" w16cid:durableId="1428577394">
    <w:abstractNumId w:val="10"/>
  </w:num>
  <w:num w:numId="26" w16cid:durableId="31152828">
    <w:abstractNumId w:val="8"/>
  </w:num>
  <w:num w:numId="27" w16cid:durableId="169977412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PE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6" w:nlCheck="1" w:checkStyle="0"/>
  <w:activeWritingStyle w:appName="MSWord" w:lang="es-MX" w:vendorID="64" w:dllVersion="0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40B"/>
    <w:rsid w:val="0000504D"/>
    <w:rsid w:val="000066B3"/>
    <w:rsid w:val="00011B51"/>
    <w:rsid w:val="000147FB"/>
    <w:rsid w:val="00027CF3"/>
    <w:rsid w:val="0004502F"/>
    <w:rsid w:val="00051CFD"/>
    <w:rsid w:val="000549E7"/>
    <w:rsid w:val="00055F03"/>
    <w:rsid w:val="000622E3"/>
    <w:rsid w:val="000672ED"/>
    <w:rsid w:val="00074306"/>
    <w:rsid w:val="00076A32"/>
    <w:rsid w:val="00085BCF"/>
    <w:rsid w:val="000A6443"/>
    <w:rsid w:val="000B589A"/>
    <w:rsid w:val="000D098A"/>
    <w:rsid w:val="000D7FD8"/>
    <w:rsid w:val="000E25D0"/>
    <w:rsid w:val="00100DBA"/>
    <w:rsid w:val="0010553B"/>
    <w:rsid w:val="00105CAD"/>
    <w:rsid w:val="00107FE9"/>
    <w:rsid w:val="001225A4"/>
    <w:rsid w:val="00123D95"/>
    <w:rsid w:val="00141008"/>
    <w:rsid w:val="0014150D"/>
    <w:rsid w:val="0015184D"/>
    <w:rsid w:val="00167154"/>
    <w:rsid w:val="00177368"/>
    <w:rsid w:val="0018440B"/>
    <w:rsid w:val="001868A6"/>
    <w:rsid w:val="001903DB"/>
    <w:rsid w:val="00192FB5"/>
    <w:rsid w:val="001A75E7"/>
    <w:rsid w:val="001D00A2"/>
    <w:rsid w:val="001D1E35"/>
    <w:rsid w:val="001E04F1"/>
    <w:rsid w:val="001F3736"/>
    <w:rsid w:val="0020024C"/>
    <w:rsid w:val="00226802"/>
    <w:rsid w:val="00253311"/>
    <w:rsid w:val="00265AA9"/>
    <w:rsid w:val="00283A6C"/>
    <w:rsid w:val="0028498F"/>
    <w:rsid w:val="00285988"/>
    <w:rsid w:val="0029215D"/>
    <w:rsid w:val="002A14D9"/>
    <w:rsid w:val="002A600F"/>
    <w:rsid w:val="002C5BC3"/>
    <w:rsid w:val="002C7C12"/>
    <w:rsid w:val="002F122F"/>
    <w:rsid w:val="00301822"/>
    <w:rsid w:val="00302BA5"/>
    <w:rsid w:val="00321AC4"/>
    <w:rsid w:val="0033543B"/>
    <w:rsid w:val="00355F03"/>
    <w:rsid w:val="00362545"/>
    <w:rsid w:val="00383BFA"/>
    <w:rsid w:val="00386A57"/>
    <w:rsid w:val="00397107"/>
    <w:rsid w:val="003A6C4C"/>
    <w:rsid w:val="003A77FD"/>
    <w:rsid w:val="003B0539"/>
    <w:rsid w:val="003C7EC3"/>
    <w:rsid w:val="003D5D6A"/>
    <w:rsid w:val="003E3EEF"/>
    <w:rsid w:val="003F46D0"/>
    <w:rsid w:val="004060E6"/>
    <w:rsid w:val="00415976"/>
    <w:rsid w:val="00423ADF"/>
    <w:rsid w:val="0042601D"/>
    <w:rsid w:val="004500E3"/>
    <w:rsid w:val="00451803"/>
    <w:rsid w:val="00454028"/>
    <w:rsid w:val="0047144A"/>
    <w:rsid w:val="00492C8F"/>
    <w:rsid w:val="00494BB6"/>
    <w:rsid w:val="004B16E1"/>
    <w:rsid w:val="004B26D6"/>
    <w:rsid w:val="004B6934"/>
    <w:rsid w:val="004C0923"/>
    <w:rsid w:val="004D355A"/>
    <w:rsid w:val="004E2B06"/>
    <w:rsid w:val="0050158E"/>
    <w:rsid w:val="00501C91"/>
    <w:rsid w:val="005026A6"/>
    <w:rsid w:val="00512F27"/>
    <w:rsid w:val="00514295"/>
    <w:rsid w:val="0052190C"/>
    <w:rsid w:val="00527157"/>
    <w:rsid w:val="005367FD"/>
    <w:rsid w:val="00545EE2"/>
    <w:rsid w:val="00552378"/>
    <w:rsid w:val="00553636"/>
    <w:rsid w:val="0058469C"/>
    <w:rsid w:val="0059274F"/>
    <w:rsid w:val="0059685C"/>
    <w:rsid w:val="005A29B4"/>
    <w:rsid w:val="005B2300"/>
    <w:rsid w:val="005B63AC"/>
    <w:rsid w:val="005C13D6"/>
    <w:rsid w:val="005D7F40"/>
    <w:rsid w:val="005E7470"/>
    <w:rsid w:val="005F7A7A"/>
    <w:rsid w:val="00605DDA"/>
    <w:rsid w:val="00620F8F"/>
    <w:rsid w:val="0065212F"/>
    <w:rsid w:val="0066026F"/>
    <w:rsid w:val="00675758"/>
    <w:rsid w:val="00683BE3"/>
    <w:rsid w:val="006B460D"/>
    <w:rsid w:val="006C1206"/>
    <w:rsid w:val="006C44BE"/>
    <w:rsid w:val="006D55B9"/>
    <w:rsid w:val="006F64A4"/>
    <w:rsid w:val="006F6F68"/>
    <w:rsid w:val="007248E9"/>
    <w:rsid w:val="00730185"/>
    <w:rsid w:val="007429DF"/>
    <w:rsid w:val="00752818"/>
    <w:rsid w:val="007633C7"/>
    <w:rsid w:val="00766BFF"/>
    <w:rsid w:val="0078477F"/>
    <w:rsid w:val="00792565"/>
    <w:rsid w:val="0079413B"/>
    <w:rsid w:val="0079676B"/>
    <w:rsid w:val="00797050"/>
    <w:rsid w:val="007B694C"/>
    <w:rsid w:val="007C133A"/>
    <w:rsid w:val="007C6866"/>
    <w:rsid w:val="007C7236"/>
    <w:rsid w:val="007D3392"/>
    <w:rsid w:val="007E5008"/>
    <w:rsid w:val="007F2620"/>
    <w:rsid w:val="0080241C"/>
    <w:rsid w:val="00805309"/>
    <w:rsid w:val="00810903"/>
    <w:rsid w:val="008219BC"/>
    <w:rsid w:val="00834AAC"/>
    <w:rsid w:val="008356DE"/>
    <w:rsid w:val="00835EBC"/>
    <w:rsid w:val="0084173B"/>
    <w:rsid w:val="00841ECF"/>
    <w:rsid w:val="00847809"/>
    <w:rsid w:val="0084796E"/>
    <w:rsid w:val="00856CB1"/>
    <w:rsid w:val="00873985"/>
    <w:rsid w:val="00875F9C"/>
    <w:rsid w:val="00876AA8"/>
    <w:rsid w:val="008903E3"/>
    <w:rsid w:val="00891B25"/>
    <w:rsid w:val="008B137B"/>
    <w:rsid w:val="008F3E1D"/>
    <w:rsid w:val="00904750"/>
    <w:rsid w:val="0093786A"/>
    <w:rsid w:val="009378D3"/>
    <w:rsid w:val="00943397"/>
    <w:rsid w:val="00967AEB"/>
    <w:rsid w:val="00980AB1"/>
    <w:rsid w:val="009A37B5"/>
    <w:rsid w:val="009A3A04"/>
    <w:rsid w:val="009A5553"/>
    <w:rsid w:val="009C5801"/>
    <w:rsid w:val="009D3F92"/>
    <w:rsid w:val="009E6962"/>
    <w:rsid w:val="00A028E8"/>
    <w:rsid w:val="00A05B97"/>
    <w:rsid w:val="00A05D8D"/>
    <w:rsid w:val="00A22642"/>
    <w:rsid w:val="00A321F9"/>
    <w:rsid w:val="00A33ABA"/>
    <w:rsid w:val="00A3568A"/>
    <w:rsid w:val="00A357D5"/>
    <w:rsid w:val="00A544EA"/>
    <w:rsid w:val="00A66539"/>
    <w:rsid w:val="00A67C60"/>
    <w:rsid w:val="00A714EC"/>
    <w:rsid w:val="00A75C0F"/>
    <w:rsid w:val="00AD1C51"/>
    <w:rsid w:val="00AD58E5"/>
    <w:rsid w:val="00AE1B5B"/>
    <w:rsid w:val="00AF23C0"/>
    <w:rsid w:val="00B051B0"/>
    <w:rsid w:val="00B14643"/>
    <w:rsid w:val="00B278C6"/>
    <w:rsid w:val="00B356AE"/>
    <w:rsid w:val="00B43BD5"/>
    <w:rsid w:val="00B50D06"/>
    <w:rsid w:val="00BE0E41"/>
    <w:rsid w:val="00BE1499"/>
    <w:rsid w:val="00BE729C"/>
    <w:rsid w:val="00BF454E"/>
    <w:rsid w:val="00BF4C9A"/>
    <w:rsid w:val="00BF6BAE"/>
    <w:rsid w:val="00C00FFD"/>
    <w:rsid w:val="00C5474B"/>
    <w:rsid w:val="00C6119B"/>
    <w:rsid w:val="00C662C3"/>
    <w:rsid w:val="00C6756C"/>
    <w:rsid w:val="00C74021"/>
    <w:rsid w:val="00C809C3"/>
    <w:rsid w:val="00C93B98"/>
    <w:rsid w:val="00C94719"/>
    <w:rsid w:val="00CA3779"/>
    <w:rsid w:val="00CA3A02"/>
    <w:rsid w:val="00CB169A"/>
    <w:rsid w:val="00CB531C"/>
    <w:rsid w:val="00CB6F61"/>
    <w:rsid w:val="00CB7FA0"/>
    <w:rsid w:val="00D114E2"/>
    <w:rsid w:val="00D21377"/>
    <w:rsid w:val="00D41519"/>
    <w:rsid w:val="00D617C4"/>
    <w:rsid w:val="00D71B8F"/>
    <w:rsid w:val="00DA77DA"/>
    <w:rsid w:val="00DB6F9C"/>
    <w:rsid w:val="00DC623B"/>
    <w:rsid w:val="00DD4543"/>
    <w:rsid w:val="00DE5310"/>
    <w:rsid w:val="00DF4480"/>
    <w:rsid w:val="00DF5E4A"/>
    <w:rsid w:val="00E05D00"/>
    <w:rsid w:val="00E06CE5"/>
    <w:rsid w:val="00E1366E"/>
    <w:rsid w:val="00E159D3"/>
    <w:rsid w:val="00E511CE"/>
    <w:rsid w:val="00E627E5"/>
    <w:rsid w:val="00E663A5"/>
    <w:rsid w:val="00E80FFA"/>
    <w:rsid w:val="00E84973"/>
    <w:rsid w:val="00E90245"/>
    <w:rsid w:val="00E94765"/>
    <w:rsid w:val="00EE2139"/>
    <w:rsid w:val="00EF40D1"/>
    <w:rsid w:val="00EF6237"/>
    <w:rsid w:val="00EF7DD7"/>
    <w:rsid w:val="00F050CC"/>
    <w:rsid w:val="00F2783A"/>
    <w:rsid w:val="00F45480"/>
    <w:rsid w:val="00F46A9F"/>
    <w:rsid w:val="00F622E2"/>
    <w:rsid w:val="00F6702A"/>
    <w:rsid w:val="00F67852"/>
    <w:rsid w:val="00F976EC"/>
    <w:rsid w:val="00FD1312"/>
    <w:rsid w:val="00FD3F21"/>
    <w:rsid w:val="00FE32D4"/>
    <w:rsid w:val="00FE4B43"/>
    <w:rsid w:val="00FE5B07"/>
    <w:rsid w:val="00FF2A9F"/>
    <w:rsid w:val="00FF539A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442480"/>
  <w15:chartTrackingRefBased/>
  <w15:docId w15:val="{8081DB50-FD9A-4206-ABD7-72C2E1A7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8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Viñeta normal,Párrafo de lista1,Nota a pie,List Paragraph1,Cuadro 2-1,Párrafo de lista2,Titulo 1,Footnote,Lista vistosa - Énfasis 11,Ha,SUBTITU MEMO,Lista 123,List Paragraph,Numeracion iniciativas,ASPECTOS GENERALES,P,paul2,TITULO A"/>
    <w:basedOn w:val="Normal"/>
    <w:link w:val="PrrafodelistaCar"/>
    <w:uiPriority w:val="34"/>
    <w:qFormat/>
    <w:rsid w:val="0018440B"/>
    <w:pPr>
      <w:ind w:left="720"/>
      <w:contextualSpacing/>
    </w:pPr>
  </w:style>
  <w:style w:type="table" w:styleId="Tablaconcuadrcula">
    <w:name w:val="Table Grid"/>
    <w:basedOn w:val="Tablanormal"/>
    <w:uiPriority w:val="39"/>
    <w:rsid w:val="00EF7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18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84D"/>
  </w:style>
  <w:style w:type="paragraph" w:styleId="Piedepgina">
    <w:name w:val="footer"/>
    <w:basedOn w:val="Normal"/>
    <w:link w:val="PiedepginaCar"/>
    <w:uiPriority w:val="99"/>
    <w:unhideWhenUsed/>
    <w:rsid w:val="001518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84D"/>
  </w:style>
  <w:style w:type="paragraph" w:styleId="NormalWeb">
    <w:name w:val="Normal (Web)"/>
    <w:basedOn w:val="Normal"/>
    <w:uiPriority w:val="99"/>
    <w:unhideWhenUsed/>
    <w:rsid w:val="00BF6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unhideWhenUsed/>
    <w:rsid w:val="00265AA9"/>
    <w:rPr>
      <w:color w:val="0563C1" w:themeColor="hyperlink"/>
      <w:u w:val="single"/>
    </w:rPr>
  </w:style>
  <w:style w:type="character" w:styleId="Fuerte">
    <w:name w:val="Strong"/>
    <w:basedOn w:val="Fuentedeprrafopredeter"/>
    <w:uiPriority w:val="22"/>
    <w:qFormat/>
    <w:rsid w:val="002C5BC3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BE1499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E1499"/>
    <w:rPr>
      <w:sz w:val="20"/>
      <w:szCs w:val="20"/>
      <w:lang w:val="es-ES"/>
    </w:rPr>
  </w:style>
  <w:style w:type="character" w:customStyle="1" w:styleId="selectable-text">
    <w:name w:val="selectable-text"/>
    <w:basedOn w:val="Fuentedeprrafopredeter"/>
    <w:rsid w:val="00DF4480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498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21AC4"/>
    <w:rPr>
      <w:color w:val="954F72" w:themeColor="followedHyperlink"/>
      <w:u w:val="single"/>
    </w:rPr>
  </w:style>
  <w:style w:type="character" w:customStyle="1" w:styleId="PrrafodelistaCar">
    <w:name w:val="Párrafo de lista Car"/>
    <w:aliases w:val="Viñeta normal Car,Párrafo de lista1 Car,Nota a pie Car,List Paragraph1 Car,Cuadro 2-1 Car,Párrafo de lista2 Car,Titulo 1 Car,Footnote Car,Lista vistosa - Énfasis 11 Car,Ha Car,SUBTITU MEMO Car,Lista 123 Car,List Paragraph Car,P Car"/>
    <w:basedOn w:val="Fuentedeprrafopredeter"/>
    <w:link w:val="Prrafodelista"/>
    <w:uiPriority w:val="34"/>
    <w:qFormat/>
    <w:rsid w:val="0020024C"/>
  </w:style>
  <w:style w:type="character" w:customStyle="1" w:styleId="aupe">
    <w:name w:val="_aupe"/>
    <w:basedOn w:val="Fuentedeprrafopredeter"/>
    <w:rsid w:val="001F3736"/>
  </w:style>
  <w:style w:type="paragraph" w:styleId="Textocomentario">
    <w:name w:val="annotation text"/>
    <w:basedOn w:val="Normal"/>
    <w:link w:val="TextocomentarioCar"/>
    <w:uiPriority w:val="99"/>
    <w:unhideWhenUsed/>
    <w:rsid w:val="00A05D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05D8D"/>
    <w:rPr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22642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9413B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1225A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1D0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Herrera Villanueva</dc:creator>
  <cp:keywords/>
  <dc:description/>
  <cp:lastModifiedBy>Prov Javier Artica Perez</cp:lastModifiedBy>
  <cp:revision>4</cp:revision>
  <dcterms:created xsi:type="dcterms:W3CDTF">2026-06-01T17:52:00Z</dcterms:created>
  <dcterms:modified xsi:type="dcterms:W3CDTF">2026-06-01T19:57:00Z</dcterms:modified>
</cp:coreProperties>
</file>