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0009C" w14:textId="18911E19" w:rsidR="006378D6" w:rsidRDefault="006378D6" w:rsidP="00316DCE">
      <w:pPr>
        <w:spacing w:after="0" w:line="240" w:lineRule="auto"/>
        <w:jc w:val="center"/>
        <w:rPr>
          <w:rFonts w:ascii="Calibri" w:hAnsi="Calibri" w:cs="Calibri"/>
          <w:b/>
          <w:sz w:val="32"/>
          <w:szCs w:val="32"/>
          <w:u w:val="single"/>
          <w:lang w:val="es-MX"/>
        </w:rPr>
      </w:pPr>
      <w:r w:rsidRPr="006333A9">
        <w:rPr>
          <w:rFonts w:ascii="Calibri" w:hAnsi="Calibri" w:cs="Calibri"/>
          <w:b/>
          <w:sz w:val="32"/>
          <w:szCs w:val="32"/>
          <w:u w:val="single"/>
          <w:lang w:val="es-MX"/>
        </w:rPr>
        <w:t>NOTA DE PRENSA</w:t>
      </w:r>
      <w:r>
        <w:rPr>
          <w:rFonts w:ascii="Calibri" w:hAnsi="Calibri" w:cs="Calibri"/>
          <w:b/>
          <w:sz w:val="32"/>
          <w:szCs w:val="32"/>
          <w:u w:val="single"/>
          <w:lang w:val="es-MX"/>
        </w:rPr>
        <w:t xml:space="preserve">. </w:t>
      </w:r>
      <w:proofErr w:type="spellStart"/>
      <w:r>
        <w:rPr>
          <w:rFonts w:ascii="Calibri" w:hAnsi="Calibri" w:cs="Calibri"/>
          <w:b/>
          <w:sz w:val="32"/>
          <w:szCs w:val="32"/>
          <w:u w:val="single"/>
          <w:lang w:val="es-MX"/>
        </w:rPr>
        <w:t>N.</w:t>
      </w:r>
      <w:r w:rsidRPr="006378D6">
        <w:rPr>
          <w:rFonts w:ascii="Calibri" w:hAnsi="Calibri" w:cs="Calibri"/>
          <w:b/>
          <w:sz w:val="32"/>
          <w:szCs w:val="32"/>
          <w:u w:val="single"/>
          <w:vertAlign w:val="superscript"/>
          <w:lang w:val="es-MX"/>
        </w:rPr>
        <w:t>o</w:t>
      </w:r>
      <w:proofErr w:type="spellEnd"/>
      <w:r w:rsidR="009B6CD2">
        <w:rPr>
          <w:rFonts w:ascii="Calibri" w:hAnsi="Calibri" w:cs="Calibri"/>
          <w:b/>
          <w:sz w:val="32"/>
          <w:szCs w:val="32"/>
          <w:u w:val="single"/>
          <w:vertAlign w:val="superscript"/>
          <w:lang w:val="es-MX"/>
        </w:rPr>
        <w:t xml:space="preserve"> </w:t>
      </w:r>
      <w:r w:rsidR="00E10A15">
        <w:rPr>
          <w:rFonts w:ascii="Calibri" w:hAnsi="Calibri" w:cs="Calibri"/>
          <w:b/>
          <w:sz w:val="32"/>
          <w:szCs w:val="32"/>
          <w:u w:val="single"/>
          <w:lang w:val="es-MX"/>
        </w:rPr>
        <w:t>55</w:t>
      </w:r>
      <w:r>
        <w:rPr>
          <w:rFonts w:ascii="Calibri" w:hAnsi="Calibri" w:cs="Calibri"/>
          <w:b/>
          <w:sz w:val="32"/>
          <w:szCs w:val="32"/>
          <w:u w:val="single"/>
          <w:lang w:val="es-MX"/>
        </w:rPr>
        <w:t>-2025</w:t>
      </w:r>
    </w:p>
    <w:p w14:paraId="259352A9" w14:textId="0632D16A" w:rsidR="00E10A15" w:rsidRPr="005046E6" w:rsidRDefault="00E10A15" w:rsidP="00E10A15">
      <w:pPr>
        <w:jc w:val="center"/>
        <w:rPr>
          <w:b/>
          <w:sz w:val="28"/>
        </w:rPr>
      </w:pPr>
      <w:bookmarkStart w:id="0" w:name="_GoBack"/>
      <w:r>
        <w:rPr>
          <w:b/>
          <w:sz w:val="28"/>
        </w:rPr>
        <w:t>OSIPTEL</w:t>
      </w:r>
      <w:r>
        <w:rPr>
          <w:b/>
          <w:sz w:val="28"/>
        </w:rPr>
        <w:t xml:space="preserve">: </w:t>
      </w:r>
      <w:r w:rsidRPr="005046E6">
        <w:rPr>
          <w:b/>
          <w:sz w:val="28"/>
        </w:rPr>
        <w:t>Tribunal de Apelaciones resolvió 174 casos en su primer año</w:t>
      </w:r>
      <w:r>
        <w:rPr>
          <w:b/>
          <w:sz w:val="28"/>
        </w:rPr>
        <w:t>, ¿cuáles son los principales casos?</w:t>
      </w:r>
    </w:p>
    <w:bookmarkEnd w:id="0"/>
    <w:p w14:paraId="1FD6E195" w14:textId="77777777" w:rsidR="00E10A15" w:rsidRDefault="00E10A15" w:rsidP="00E10A15">
      <w:pPr>
        <w:pStyle w:val="Prrafodelista"/>
        <w:numPr>
          <w:ilvl w:val="0"/>
          <w:numId w:val="47"/>
        </w:numPr>
        <w:spacing w:line="259" w:lineRule="auto"/>
      </w:pPr>
      <w:r>
        <w:t>Al cierre de mayo de 2025, el 62 % de los casos fueron declarados infundados, el 31% fundados en parte, el 6 % fundados y el 1% improcedente.</w:t>
      </w:r>
    </w:p>
    <w:p w14:paraId="1198CFD9" w14:textId="77777777" w:rsidR="00E10A15" w:rsidRDefault="00E10A15" w:rsidP="00E10A15">
      <w:pPr>
        <w:pStyle w:val="Prrafodelista"/>
        <w:numPr>
          <w:ilvl w:val="0"/>
          <w:numId w:val="47"/>
        </w:numPr>
        <w:spacing w:line="259" w:lineRule="auto"/>
      </w:pPr>
      <w:r>
        <w:t>El Tribunal de Apelaciones ratificó sanciones por más de 37 mil UIT.</w:t>
      </w:r>
    </w:p>
    <w:p w14:paraId="2E6A6C95" w14:textId="77777777" w:rsidR="00E10A15" w:rsidRDefault="00E10A15" w:rsidP="00E10A15">
      <w:pPr>
        <w:jc w:val="both"/>
      </w:pPr>
      <w:r>
        <w:t xml:space="preserve">A un poco más de un año de su implementación, el Tribunal de Apelaciones (TA) del Organismo Supervisor de Inversión Privada en Telecomunicaciones (OSIPTEL), al cierre de mayo de 2025, resolvió 174 recursos de apelación presentados por las empresas operadoras de servicios públicos de telecomunicaciones, todos dentro del plazo legal, con un promedio de atención de 25 días hábiles por expediente. </w:t>
      </w:r>
    </w:p>
    <w:p w14:paraId="43D4652C" w14:textId="77777777" w:rsidR="00E10A15" w:rsidRDefault="00E10A15" w:rsidP="00E10A15">
      <w:pPr>
        <w:jc w:val="both"/>
      </w:pPr>
      <w:r w:rsidRPr="00776A70">
        <w:t>Al cierre de mayo de 2025, el 62 % de los casos fueron declarados infundados, el 31 % fundados en parte, el 6 % fundados y el 1% improcedente.</w:t>
      </w:r>
      <w:r>
        <w:t xml:space="preserve"> </w:t>
      </w:r>
    </w:p>
    <w:p w14:paraId="463A290B" w14:textId="77777777" w:rsidR="00E10A15" w:rsidRDefault="00E10A15" w:rsidP="00E10A15">
      <w:pPr>
        <w:jc w:val="both"/>
      </w:pPr>
      <w:r>
        <w:t>Las principales casuísticas resueltas están relacionadas con contrataciones en la vía pública (venta ambulatoria), bloqueo de terminales móviles (</w:t>
      </w:r>
      <w:proofErr w:type="spellStart"/>
      <w:r>
        <w:t>Renteseg</w:t>
      </w:r>
      <w:proofErr w:type="spellEnd"/>
      <w:r>
        <w:t>), no entrega de información, calidad del servicio, problemas en portabilidad numérica, infracciones asociadas al procedimiento de reclamos, así como el incumplimiento de medidas correctivas o cautelares. Todos estos aspectos impactan directamente tanto en los usuarios como en la competencia en el mercado.</w:t>
      </w:r>
    </w:p>
    <w:p w14:paraId="40455F97" w14:textId="77777777" w:rsidR="00E10A15" w:rsidRDefault="00E10A15" w:rsidP="00E10A15">
      <w:pPr>
        <w:jc w:val="both"/>
      </w:pPr>
      <w:r w:rsidRPr="00290C08">
        <w:t xml:space="preserve">Como parte de las recomendaciones de la Organización para la Cooperación y el Desarrollo Económico (OCDE) y en respuesta al crecimiento del mercado de telecomunicaciones, </w:t>
      </w:r>
      <w:r>
        <w:t>la implementación</w:t>
      </w:r>
      <w:r w:rsidRPr="00290C08">
        <w:t xml:space="preserve"> del </w:t>
      </w:r>
      <w:r>
        <w:t>TA</w:t>
      </w:r>
      <w:r w:rsidRPr="00290C08">
        <w:t xml:space="preserve"> respondió a la necesidad de fortalecer la función </w:t>
      </w:r>
      <w:r>
        <w:t>sancionadora</w:t>
      </w:r>
      <w:r w:rsidRPr="00290C08">
        <w:t xml:space="preserve"> de OSIPTEL</w:t>
      </w:r>
      <w:r>
        <w:t>, a través de un órgano especializado en la materia</w:t>
      </w:r>
      <w:r w:rsidRPr="00290C08">
        <w:t xml:space="preserve">. </w:t>
      </w:r>
      <w:r>
        <w:t>A</w:t>
      </w:r>
      <w:r w:rsidRPr="00290C08">
        <w:t xml:space="preserve">ntes </w:t>
      </w:r>
      <w:r>
        <w:t>que el TA inicie sus actividades</w:t>
      </w:r>
      <w:r w:rsidRPr="00290C08">
        <w:t>, el Consejo Directivo del organismo era el encargado de resolver, en segunda y última instancia, los procedimientos administrativos sancionadores</w:t>
      </w:r>
      <w:r>
        <w:t xml:space="preserve"> y de imposición de medidas correctivas, entre otras</w:t>
      </w:r>
      <w:r w:rsidRPr="00290C08">
        <w:t>. Con el nuevo esquema, el TA asumió esa labor de manera exclusiva.</w:t>
      </w:r>
    </w:p>
    <w:p w14:paraId="40710078" w14:textId="77777777" w:rsidR="00E10A15" w:rsidRDefault="00E10A15" w:rsidP="00E10A15">
      <w:pPr>
        <w:jc w:val="both"/>
      </w:pPr>
      <w:r>
        <w:t xml:space="preserve">El TA, que inició funciones </w:t>
      </w:r>
      <w:r>
        <w:rPr>
          <w:lang w:val="es-MX"/>
        </w:rPr>
        <w:t>desde el 15 de mayo de 2024,</w:t>
      </w:r>
      <w:r>
        <w:t xml:space="preserve"> está facultado para revisar en segunda y última instancia los recursos de apelación presentados contra resoluciones emitidas por la Gerencia General o el Tribunal Administrativo de Solución de Reclamos de Usuarios (TRASU), en el marco de la labor fiscalizadora y sancionadora de OSIPTEL.</w:t>
      </w:r>
    </w:p>
    <w:p w14:paraId="4A2BC28D" w14:textId="77777777" w:rsidR="00E10A15" w:rsidRDefault="00E10A15" w:rsidP="00E10A15">
      <w:pPr>
        <w:jc w:val="both"/>
      </w:pPr>
      <w:r>
        <w:t>Con esta estructura, OSIPTEL refuerza su rol como ente regulador autónomo, buscando mejorar la calidad del servicio y garantizar los derechos de los usuarios en el sector telecomunicaciones.</w:t>
      </w:r>
    </w:p>
    <w:p w14:paraId="0BD37597" w14:textId="77777777" w:rsidR="00E10A15" w:rsidRPr="005046E6" w:rsidRDefault="00E10A15" w:rsidP="00E10A15">
      <w:pPr>
        <w:jc w:val="both"/>
        <w:rPr>
          <w:b/>
        </w:rPr>
      </w:pPr>
      <w:r w:rsidRPr="005046E6">
        <w:rPr>
          <w:b/>
        </w:rPr>
        <w:t>Multas por más de 37 mil UIT</w:t>
      </w:r>
    </w:p>
    <w:p w14:paraId="4A52D794" w14:textId="77777777" w:rsidR="00E10A15" w:rsidRDefault="00E10A15" w:rsidP="00E10A15">
      <w:pPr>
        <w:jc w:val="both"/>
      </w:pPr>
      <w:r>
        <w:t xml:space="preserve">Desde el inicio de sus funciones al cierre de mayo de 2025, el TA ratificó sanciones por un monto de 37 043 Unidades Impositivas Tributarias (UIT). Las empresas con más multas confirmadas en segunda instancia fueron Telefónica del Perú S.A.A., Entel Perú S.A., </w:t>
      </w:r>
      <w:proofErr w:type="spellStart"/>
      <w:r>
        <w:t>Viettel</w:t>
      </w:r>
      <w:proofErr w:type="spellEnd"/>
      <w:r>
        <w:t xml:space="preserve"> Perú S.A.C. y América Móvil Perú S.A.C.</w:t>
      </w:r>
    </w:p>
    <w:p w14:paraId="27830E52" w14:textId="105D7D74" w:rsidR="001E07CB" w:rsidRPr="00E10A15" w:rsidRDefault="00E10A15" w:rsidP="00E10A15">
      <w:pPr>
        <w:shd w:val="clear" w:color="auto" w:fill="FFFFFF"/>
        <w:spacing w:after="100" w:afterAutospacing="1" w:line="240" w:lineRule="auto"/>
        <w:jc w:val="right"/>
        <w:rPr>
          <w:rFonts w:ascii="Arial" w:eastAsia="Times New Roman" w:hAnsi="Arial" w:cs="Arial"/>
          <w:color w:val="212529"/>
          <w:sz w:val="20"/>
          <w:szCs w:val="24"/>
          <w:lang w:eastAsia="es-PE"/>
        </w:rPr>
      </w:pPr>
      <w:r w:rsidRPr="007525DA">
        <w:rPr>
          <w:rFonts w:ascii="Arial" w:eastAsia="Times New Roman" w:hAnsi="Arial" w:cs="Arial"/>
          <w:b/>
          <w:bCs/>
          <w:color w:val="212529"/>
          <w:sz w:val="20"/>
          <w:szCs w:val="24"/>
          <w:lang w:eastAsia="es-PE"/>
        </w:rPr>
        <w:t xml:space="preserve">Lima, </w:t>
      </w:r>
      <w:r>
        <w:rPr>
          <w:rFonts w:ascii="Arial" w:eastAsia="Times New Roman" w:hAnsi="Arial" w:cs="Arial"/>
          <w:b/>
          <w:bCs/>
          <w:color w:val="212529"/>
          <w:sz w:val="20"/>
          <w:szCs w:val="24"/>
          <w:lang w:eastAsia="es-PE"/>
        </w:rPr>
        <w:t>22</w:t>
      </w:r>
      <w:r w:rsidRPr="007525DA">
        <w:rPr>
          <w:rFonts w:ascii="Arial" w:eastAsia="Times New Roman" w:hAnsi="Arial" w:cs="Arial"/>
          <w:b/>
          <w:bCs/>
          <w:color w:val="212529"/>
          <w:sz w:val="20"/>
          <w:szCs w:val="24"/>
          <w:lang w:eastAsia="es-PE"/>
        </w:rPr>
        <w:t xml:space="preserve"> de junio de 2025</w:t>
      </w:r>
    </w:p>
    <w:sectPr w:rsidR="001E07CB" w:rsidRPr="00E10A15" w:rsidSect="00764A87">
      <w:headerReference w:type="default" r:id="rId8"/>
      <w:footerReference w:type="default" r:id="rId9"/>
      <w:pgSz w:w="11906" w:h="16838"/>
      <w:pgMar w:top="1797" w:right="1701" w:bottom="1276" w:left="1701" w:header="709"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B9071" w14:textId="77777777" w:rsidR="004B37EF" w:rsidRDefault="004B37EF">
      <w:pPr>
        <w:spacing w:after="0" w:line="240" w:lineRule="auto"/>
      </w:pPr>
      <w:r>
        <w:separator/>
      </w:r>
    </w:p>
  </w:endnote>
  <w:endnote w:type="continuationSeparator" w:id="0">
    <w:p w14:paraId="6336EE61" w14:textId="77777777" w:rsidR="004B37EF" w:rsidRDefault="004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D0B5" w14:textId="77777777" w:rsidR="0056220B" w:rsidRDefault="0056220B" w:rsidP="005D1351">
    <w:pPr>
      <w:spacing w:after="0" w:line="240" w:lineRule="auto"/>
      <w:ind w:right="521"/>
    </w:pPr>
  </w:p>
  <w:p w14:paraId="66DA4E17" w14:textId="7B9B71E1" w:rsidR="00CB49B3" w:rsidRDefault="001F7E3E" w:rsidP="005D1351">
    <w:pPr>
      <w:spacing w:after="0" w:line="240" w:lineRule="auto"/>
      <w:ind w:right="521"/>
    </w:pPr>
    <w:r>
      <w:rPr>
        <w:noProof/>
        <w:lang w:eastAsia="es-PE"/>
      </w:rPr>
      <w:drawing>
        <wp:anchor distT="0" distB="0" distL="114300" distR="114300" simplePos="0" relativeHeight="251667456" behindDoc="1" locked="0" layoutInCell="1" allowOverlap="1" wp14:anchorId="2A59F4EC" wp14:editId="360397BC">
          <wp:simplePos x="0" y="0"/>
          <wp:positionH relativeFrom="page">
            <wp:align>left</wp:align>
          </wp:positionH>
          <wp:positionV relativeFrom="paragraph">
            <wp:posOffset>-162560</wp:posOffset>
          </wp:positionV>
          <wp:extent cx="7581264" cy="944880"/>
          <wp:effectExtent l="0" t="0" r="1270" b="762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8926E" w14:textId="233565A0" w:rsidR="006D7011" w:rsidRDefault="006D7011" w:rsidP="005D1351">
    <w:pPr>
      <w:spacing w:after="0" w:line="240" w:lineRule="auto"/>
      <w:ind w:right="521"/>
    </w:pPr>
  </w:p>
  <w:p w14:paraId="5D36566F" w14:textId="77777777" w:rsidR="006D7011" w:rsidRDefault="006D7011">
    <w:pPr>
      <w:pStyle w:val="Piedepgina"/>
      <w:jc w:val="center"/>
    </w:pPr>
  </w:p>
  <w:p w14:paraId="089EBD50" w14:textId="77777777" w:rsidR="006D7011" w:rsidRDefault="006D701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E850" w14:textId="77777777" w:rsidR="004B37EF" w:rsidRDefault="004B37EF">
      <w:pPr>
        <w:spacing w:after="0" w:line="240" w:lineRule="auto"/>
      </w:pPr>
      <w:r>
        <w:separator/>
      </w:r>
    </w:p>
  </w:footnote>
  <w:footnote w:type="continuationSeparator" w:id="0">
    <w:p w14:paraId="02935158" w14:textId="77777777" w:rsidR="004B37EF" w:rsidRDefault="004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41E5" w14:textId="5B662072" w:rsidR="0009334A" w:rsidRDefault="001F7E3E">
    <w:pPr>
      <w:pStyle w:val="Encabezado"/>
      <w:jc w:val="center"/>
    </w:pPr>
    <w:r>
      <w:rPr>
        <w:noProof/>
        <w:lang w:eastAsia="es-PE"/>
      </w:rPr>
      <w:drawing>
        <wp:anchor distT="0" distB="0" distL="114300" distR="114300" simplePos="0" relativeHeight="251665408" behindDoc="1" locked="0" layoutInCell="1" allowOverlap="1" wp14:anchorId="42F6848F" wp14:editId="24866F62">
          <wp:simplePos x="0" y="0"/>
          <wp:positionH relativeFrom="page">
            <wp:align>left</wp:align>
          </wp:positionH>
          <wp:positionV relativeFrom="paragraph">
            <wp:posOffset>-448310</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AAFB0D" w14:textId="1A4AB99E" w:rsidR="0009334A" w:rsidRDefault="0009334A" w:rsidP="00F32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977"/>
    <w:multiLevelType w:val="hybridMultilevel"/>
    <w:tmpl w:val="3CC241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8C21D6D"/>
    <w:multiLevelType w:val="hybridMultilevel"/>
    <w:tmpl w:val="0CDEEF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A779CA"/>
    <w:multiLevelType w:val="hybridMultilevel"/>
    <w:tmpl w:val="F68E39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1D74EC"/>
    <w:multiLevelType w:val="hybridMultilevel"/>
    <w:tmpl w:val="C0B8E9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A951D6"/>
    <w:multiLevelType w:val="hybridMultilevel"/>
    <w:tmpl w:val="78C82AE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0F805911"/>
    <w:multiLevelType w:val="hybridMultilevel"/>
    <w:tmpl w:val="2F2E53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C225D6"/>
    <w:multiLevelType w:val="hybridMultilevel"/>
    <w:tmpl w:val="759EBE6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4DE3E40"/>
    <w:multiLevelType w:val="hybridMultilevel"/>
    <w:tmpl w:val="B9846D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8A524AB"/>
    <w:multiLevelType w:val="hybridMultilevel"/>
    <w:tmpl w:val="F39419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D7675CF"/>
    <w:multiLevelType w:val="hybridMultilevel"/>
    <w:tmpl w:val="C6403C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ED64025"/>
    <w:multiLevelType w:val="hybridMultilevel"/>
    <w:tmpl w:val="063CA6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C010BD"/>
    <w:multiLevelType w:val="hybridMultilevel"/>
    <w:tmpl w:val="C5E218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1770BBE"/>
    <w:multiLevelType w:val="hybridMultilevel"/>
    <w:tmpl w:val="3816322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 w15:restartNumberingAfterBreak="0">
    <w:nsid w:val="22D50D6D"/>
    <w:multiLevelType w:val="hybridMultilevel"/>
    <w:tmpl w:val="6B2AC6D6"/>
    <w:lvl w:ilvl="0" w:tplc="280A0001">
      <w:start w:val="1"/>
      <w:numFmt w:val="bullet"/>
      <w:lvlText w:val=""/>
      <w:lvlJc w:val="left"/>
      <w:pPr>
        <w:ind w:left="777" w:hanging="360"/>
      </w:pPr>
      <w:rPr>
        <w:rFonts w:ascii="Symbol" w:hAnsi="Symbol" w:hint="default"/>
      </w:rPr>
    </w:lvl>
    <w:lvl w:ilvl="1" w:tplc="280A0003">
      <w:start w:val="1"/>
      <w:numFmt w:val="bullet"/>
      <w:lvlText w:val="o"/>
      <w:lvlJc w:val="left"/>
      <w:pPr>
        <w:ind w:left="1497" w:hanging="360"/>
      </w:pPr>
      <w:rPr>
        <w:rFonts w:ascii="Courier New" w:hAnsi="Courier New" w:cs="Courier New" w:hint="default"/>
      </w:rPr>
    </w:lvl>
    <w:lvl w:ilvl="2" w:tplc="280A0005">
      <w:start w:val="1"/>
      <w:numFmt w:val="bullet"/>
      <w:lvlText w:val=""/>
      <w:lvlJc w:val="left"/>
      <w:pPr>
        <w:ind w:left="2217" w:hanging="360"/>
      </w:pPr>
      <w:rPr>
        <w:rFonts w:ascii="Wingdings" w:hAnsi="Wingdings" w:hint="default"/>
      </w:rPr>
    </w:lvl>
    <w:lvl w:ilvl="3" w:tplc="280A0001">
      <w:start w:val="1"/>
      <w:numFmt w:val="bullet"/>
      <w:lvlText w:val=""/>
      <w:lvlJc w:val="left"/>
      <w:pPr>
        <w:ind w:left="2937" w:hanging="360"/>
      </w:pPr>
      <w:rPr>
        <w:rFonts w:ascii="Symbol" w:hAnsi="Symbol" w:hint="default"/>
      </w:rPr>
    </w:lvl>
    <w:lvl w:ilvl="4" w:tplc="280A0003">
      <w:start w:val="1"/>
      <w:numFmt w:val="bullet"/>
      <w:lvlText w:val="o"/>
      <w:lvlJc w:val="left"/>
      <w:pPr>
        <w:ind w:left="3657" w:hanging="360"/>
      </w:pPr>
      <w:rPr>
        <w:rFonts w:ascii="Courier New" w:hAnsi="Courier New" w:cs="Courier New" w:hint="default"/>
      </w:rPr>
    </w:lvl>
    <w:lvl w:ilvl="5" w:tplc="280A0005">
      <w:start w:val="1"/>
      <w:numFmt w:val="bullet"/>
      <w:lvlText w:val=""/>
      <w:lvlJc w:val="left"/>
      <w:pPr>
        <w:ind w:left="4377" w:hanging="360"/>
      </w:pPr>
      <w:rPr>
        <w:rFonts w:ascii="Wingdings" w:hAnsi="Wingdings" w:hint="default"/>
      </w:rPr>
    </w:lvl>
    <w:lvl w:ilvl="6" w:tplc="280A0001">
      <w:start w:val="1"/>
      <w:numFmt w:val="bullet"/>
      <w:lvlText w:val=""/>
      <w:lvlJc w:val="left"/>
      <w:pPr>
        <w:ind w:left="5097" w:hanging="360"/>
      </w:pPr>
      <w:rPr>
        <w:rFonts w:ascii="Symbol" w:hAnsi="Symbol" w:hint="default"/>
      </w:rPr>
    </w:lvl>
    <w:lvl w:ilvl="7" w:tplc="280A0003">
      <w:start w:val="1"/>
      <w:numFmt w:val="bullet"/>
      <w:lvlText w:val="o"/>
      <w:lvlJc w:val="left"/>
      <w:pPr>
        <w:ind w:left="5817" w:hanging="360"/>
      </w:pPr>
      <w:rPr>
        <w:rFonts w:ascii="Courier New" w:hAnsi="Courier New" w:cs="Courier New" w:hint="default"/>
      </w:rPr>
    </w:lvl>
    <w:lvl w:ilvl="8" w:tplc="280A0005">
      <w:start w:val="1"/>
      <w:numFmt w:val="bullet"/>
      <w:lvlText w:val=""/>
      <w:lvlJc w:val="left"/>
      <w:pPr>
        <w:ind w:left="6537" w:hanging="360"/>
      </w:pPr>
      <w:rPr>
        <w:rFonts w:ascii="Wingdings" w:hAnsi="Wingdings" w:hint="default"/>
      </w:rPr>
    </w:lvl>
  </w:abstractNum>
  <w:abstractNum w:abstractNumId="14" w15:restartNumberingAfterBreak="0">
    <w:nsid w:val="25347F8A"/>
    <w:multiLevelType w:val="hybridMultilevel"/>
    <w:tmpl w:val="9B14F2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BF34F98"/>
    <w:multiLevelType w:val="hybridMultilevel"/>
    <w:tmpl w:val="71B480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C515923"/>
    <w:multiLevelType w:val="hybridMultilevel"/>
    <w:tmpl w:val="DEF644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CDA6750"/>
    <w:multiLevelType w:val="hybridMultilevel"/>
    <w:tmpl w:val="51686E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FB6264F"/>
    <w:multiLevelType w:val="hybridMultilevel"/>
    <w:tmpl w:val="B35672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0C3721F"/>
    <w:multiLevelType w:val="hybridMultilevel"/>
    <w:tmpl w:val="A950FC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3CD70B6"/>
    <w:multiLevelType w:val="hybridMultilevel"/>
    <w:tmpl w:val="9E7C8A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65B0A96"/>
    <w:multiLevelType w:val="hybridMultilevel"/>
    <w:tmpl w:val="BFA6BF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7267989"/>
    <w:multiLevelType w:val="hybridMultilevel"/>
    <w:tmpl w:val="4FA49B16"/>
    <w:lvl w:ilvl="0" w:tplc="2452A0B0">
      <w:start w:val="1"/>
      <w:numFmt w:val="bullet"/>
      <w:lvlText w:val=""/>
      <w:lvlJc w:val="left"/>
      <w:pPr>
        <w:ind w:left="720" w:hanging="360"/>
      </w:pPr>
      <w:rPr>
        <w:rFonts w:ascii="Symbol" w:hAnsi="Symbol" w:hint="default"/>
        <w:sz w:val="24"/>
        <w:szCs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9F7D8D"/>
    <w:multiLevelType w:val="hybridMultilevel"/>
    <w:tmpl w:val="CE841B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DB87667"/>
    <w:multiLevelType w:val="hybridMultilevel"/>
    <w:tmpl w:val="387695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423530B1"/>
    <w:multiLevelType w:val="hybridMultilevel"/>
    <w:tmpl w:val="4A18E6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45A47679"/>
    <w:multiLevelType w:val="hybridMultilevel"/>
    <w:tmpl w:val="9E34B7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465A3218"/>
    <w:multiLevelType w:val="hybridMultilevel"/>
    <w:tmpl w:val="18C821F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4A463421"/>
    <w:multiLevelType w:val="hybridMultilevel"/>
    <w:tmpl w:val="2EC230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AB36E58"/>
    <w:multiLevelType w:val="hybridMultilevel"/>
    <w:tmpl w:val="D0F279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4E6F48EC"/>
    <w:multiLevelType w:val="hybridMultilevel"/>
    <w:tmpl w:val="8722CA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4E740003"/>
    <w:multiLevelType w:val="hybridMultilevel"/>
    <w:tmpl w:val="59965E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1B5AB4"/>
    <w:multiLevelType w:val="hybridMultilevel"/>
    <w:tmpl w:val="F7C4AE4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5466173C"/>
    <w:multiLevelType w:val="hybridMultilevel"/>
    <w:tmpl w:val="32149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6040C82"/>
    <w:multiLevelType w:val="hybridMultilevel"/>
    <w:tmpl w:val="D92E408C"/>
    <w:lvl w:ilvl="0" w:tplc="280A0001">
      <w:start w:val="1"/>
      <w:numFmt w:val="bullet"/>
      <w:lvlText w:val=""/>
      <w:lvlJc w:val="left"/>
      <w:pPr>
        <w:ind w:left="-3960" w:hanging="360"/>
      </w:pPr>
      <w:rPr>
        <w:rFonts w:ascii="Symbol" w:hAnsi="Symbol"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1800" w:hanging="360"/>
      </w:pPr>
      <w:rPr>
        <w:rFonts w:ascii="Symbol" w:hAnsi="Symbol" w:hint="default"/>
      </w:rPr>
    </w:lvl>
    <w:lvl w:ilvl="4" w:tplc="280A0003" w:tentative="1">
      <w:start w:val="1"/>
      <w:numFmt w:val="bullet"/>
      <w:lvlText w:val="o"/>
      <w:lvlJc w:val="left"/>
      <w:pPr>
        <w:ind w:left="-1080" w:hanging="360"/>
      </w:pPr>
      <w:rPr>
        <w:rFonts w:ascii="Courier New" w:hAnsi="Courier New" w:cs="Courier New" w:hint="default"/>
      </w:rPr>
    </w:lvl>
    <w:lvl w:ilvl="5" w:tplc="280A0005" w:tentative="1">
      <w:start w:val="1"/>
      <w:numFmt w:val="bullet"/>
      <w:lvlText w:val=""/>
      <w:lvlJc w:val="left"/>
      <w:pPr>
        <w:ind w:left="-360" w:hanging="360"/>
      </w:pPr>
      <w:rPr>
        <w:rFonts w:ascii="Wingdings" w:hAnsi="Wingdings" w:hint="default"/>
      </w:rPr>
    </w:lvl>
    <w:lvl w:ilvl="6" w:tplc="280A0001" w:tentative="1">
      <w:start w:val="1"/>
      <w:numFmt w:val="bullet"/>
      <w:lvlText w:val=""/>
      <w:lvlJc w:val="left"/>
      <w:pPr>
        <w:ind w:left="360" w:hanging="360"/>
      </w:pPr>
      <w:rPr>
        <w:rFonts w:ascii="Symbol" w:hAnsi="Symbol" w:hint="default"/>
      </w:rPr>
    </w:lvl>
    <w:lvl w:ilvl="7" w:tplc="280A0003" w:tentative="1">
      <w:start w:val="1"/>
      <w:numFmt w:val="bullet"/>
      <w:lvlText w:val="o"/>
      <w:lvlJc w:val="left"/>
      <w:pPr>
        <w:ind w:left="1080" w:hanging="360"/>
      </w:pPr>
      <w:rPr>
        <w:rFonts w:ascii="Courier New" w:hAnsi="Courier New" w:cs="Courier New" w:hint="default"/>
      </w:rPr>
    </w:lvl>
    <w:lvl w:ilvl="8" w:tplc="280A0005" w:tentative="1">
      <w:start w:val="1"/>
      <w:numFmt w:val="bullet"/>
      <w:lvlText w:val=""/>
      <w:lvlJc w:val="left"/>
      <w:pPr>
        <w:ind w:left="1800" w:hanging="360"/>
      </w:pPr>
      <w:rPr>
        <w:rFonts w:ascii="Wingdings" w:hAnsi="Wingdings" w:hint="default"/>
      </w:rPr>
    </w:lvl>
  </w:abstractNum>
  <w:abstractNum w:abstractNumId="35" w15:restartNumberingAfterBreak="0">
    <w:nsid w:val="5D0A1654"/>
    <w:multiLevelType w:val="hybridMultilevel"/>
    <w:tmpl w:val="799CB1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5F4819C3"/>
    <w:multiLevelType w:val="hybridMultilevel"/>
    <w:tmpl w:val="ED1E25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605C061C"/>
    <w:multiLevelType w:val="hybridMultilevel"/>
    <w:tmpl w:val="13DC4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08170D1"/>
    <w:multiLevelType w:val="hybridMultilevel"/>
    <w:tmpl w:val="9872B7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9594E70"/>
    <w:multiLevelType w:val="hybridMultilevel"/>
    <w:tmpl w:val="E4BC85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70995DE1"/>
    <w:multiLevelType w:val="hybridMultilevel"/>
    <w:tmpl w:val="7EE201F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72481000"/>
    <w:multiLevelType w:val="hybridMultilevel"/>
    <w:tmpl w:val="F9FE2C4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74E67CFC"/>
    <w:multiLevelType w:val="hybridMultilevel"/>
    <w:tmpl w:val="5D944C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756C0DAE"/>
    <w:multiLevelType w:val="hybridMultilevel"/>
    <w:tmpl w:val="03AAFA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623637D"/>
    <w:multiLevelType w:val="hybridMultilevel"/>
    <w:tmpl w:val="12D834EE"/>
    <w:lvl w:ilvl="0" w:tplc="1D909B4E">
      <w:start w:val="1"/>
      <w:numFmt w:val="bullet"/>
      <w:lvlText w:val=""/>
      <w:lvlJc w:val="left"/>
      <w:pPr>
        <w:ind w:left="360" w:hanging="360"/>
      </w:pPr>
      <w:rPr>
        <w:rFonts w:ascii="Symbol" w:hAnsi="Symbol" w:hint="default"/>
        <w:sz w:val="24"/>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7C354A01"/>
    <w:multiLevelType w:val="hybridMultilevel"/>
    <w:tmpl w:val="B69E75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7D1C7364"/>
    <w:multiLevelType w:val="hybridMultilevel"/>
    <w:tmpl w:val="2646BB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44"/>
  </w:num>
  <w:num w:numId="4">
    <w:abstractNumId w:val="41"/>
  </w:num>
  <w:num w:numId="5">
    <w:abstractNumId w:val="22"/>
  </w:num>
  <w:num w:numId="6">
    <w:abstractNumId w:val="6"/>
  </w:num>
  <w:num w:numId="7">
    <w:abstractNumId w:val="23"/>
  </w:num>
  <w:num w:numId="8">
    <w:abstractNumId w:val="32"/>
  </w:num>
  <w:num w:numId="9">
    <w:abstractNumId w:val="39"/>
  </w:num>
  <w:num w:numId="10">
    <w:abstractNumId w:val="16"/>
  </w:num>
  <w:num w:numId="11">
    <w:abstractNumId w:val="33"/>
  </w:num>
  <w:num w:numId="12">
    <w:abstractNumId w:val="31"/>
  </w:num>
  <w:num w:numId="13">
    <w:abstractNumId w:val="0"/>
  </w:num>
  <w:num w:numId="14">
    <w:abstractNumId w:val="13"/>
  </w:num>
  <w:num w:numId="15">
    <w:abstractNumId w:val="10"/>
  </w:num>
  <w:num w:numId="16">
    <w:abstractNumId w:val="8"/>
  </w:num>
  <w:num w:numId="17">
    <w:abstractNumId w:val="36"/>
  </w:num>
  <w:num w:numId="18">
    <w:abstractNumId w:val="34"/>
  </w:num>
  <w:num w:numId="19">
    <w:abstractNumId w:val="19"/>
  </w:num>
  <w:num w:numId="20">
    <w:abstractNumId w:val="29"/>
  </w:num>
  <w:num w:numId="21">
    <w:abstractNumId w:val="14"/>
  </w:num>
  <w:num w:numId="22">
    <w:abstractNumId w:val="37"/>
  </w:num>
  <w:num w:numId="23">
    <w:abstractNumId w:val="15"/>
  </w:num>
  <w:num w:numId="24">
    <w:abstractNumId w:val="30"/>
  </w:num>
  <w:num w:numId="25">
    <w:abstractNumId w:val="4"/>
  </w:num>
  <w:num w:numId="26">
    <w:abstractNumId w:val="24"/>
  </w:num>
  <w:num w:numId="27">
    <w:abstractNumId w:val="2"/>
  </w:num>
  <w:num w:numId="28">
    <w:abstractNumId w:val="40"/>
  </w:num>
  <w:num w:numId="29">
    <w:abstractNumId w:val="20"/>
  </w:num>
  <w:num w:numId="30">
    <w:abstractNumId w:val="1"/>
  </w:num>
  <w:num w:numId="31">
    <w:abstractNumId w:val="9"/>
  </w:num>
  <w:num w:numId="32">
    <w:abstractNumId w:val="27"/>
  </w:num>
  <w:num w:numId="33">
    <w:abstractNumId w:val="28"/>
  </w:num>
  <w:num w:numId="34">
    <w:abstractNumId w:val="26"/>
  </w:num>
  <w:num w:numId="35">
    <w:abstractNumId w:val="38"/>
  </w:num>
  <w:num w:numId="36">
    <w:abstractNumId w:val="25"/>
  </w:num>
  <w:num w:numId="37">
    <w:abstractNumId w:val="7"/>
  </w:num>
  <w:num w:numId="38">
    <w:abstractNumId w:val="17"/>
  </w:num>
  <w:num w:numId="39">
    <w:abstractNumId w:val="46"/>
  </w:num>
  <w:num w:numId="40">
    <w:abstractNumId w:val="3"/>
  </w:num>
  <w:num w:numId="41">
    <w:abstractNumId w:val="42"/>
  </w:num>
  <w:num w:numId="42">
    <w:abstractNumId w:val="35"/>
  </w:num>
  <w:num w:numId="43">
    <w:abstractNumId w:val="45"/>
  </w:num>
  <w:num w:numId="44">
    <w:abstractNumId w:val="21"/>
  </w:num>
  <w:num w:numId="45">
    <w:abstractNumId w:val="5"/>
  </w:num>
  <w:num w:numId="46">
    <w:abstractNumId w:val="43"/>
  </w:num>
  <w:num w:numId="4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PE" w:vendorID="64" w:dllVersion="6" w:nlCheck="1" w:checkStyle="0"/>
  <w:activeWritingStyle w:appName="MSWord" w:lang="es-ES_tradnl"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PE"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3D"/>
    <w:rsid w:val="00002A6A"/>
    <w:rsid w:val="00010A03"/>
    <w:rsid w:val="00016701"/>
    <w:rsid w:val="000369A3"/>
    <w:rsid w:val="000374B3"/>
    <w:rsid w:val="000434E1"/>
    <w:rsid w:val="000531E3"/>
    <w:rsid w:val="00056586"/>
    <w:rsid w:val="00056CE2"/>
    <w:rsid w:val="00062B9C"/>
    <w:rsid w:val="00063D3F"/>
    <w:rsid w:val="00065B49"/>
    <w:rsid w:val="00077E1A"/>
    <w:rsid w:val="000821DA"/>
    <w:rsid w:val="0008285C"/>
    <w:rsid w:val="00087D4A"/>
    <w:rsid w:val="00092252"/>
    <w:rsid w:val="0009334A"/>
    <w:rsid w:val="000A434C"/>
    <w:rsid w:val="000B10FB"/>
    <w:rsid w:val="000D2FAE"/>
    <w:rsid w:val="000D542B"/>
    <w:rsid w:val="00105CF9"/>
    <w:rsid w:val="00107FBA"/>
    <w:rsid w:val="0011660A"/>
    <w:rsid w:val="001208B1"/>
    <w:rsid w:val="00122DA6"/>
    <w:rsid w:val="00140A9E"/>
    <w:rsid w:val="00142135"/>
    <w:rsid w:val="001438C3"/>
    <w:rsid w:val="00146752"/>
    <w:rsid w:val="00154B15"/>
    <w:rsid w:val="00155693"/>
    <w:rsid w:val="00155DBC"/>
    <w:rsid w:val="00164C59"/>
    <w:rsid w:val="00166287"/>
    <w:rsid w:val="00180932"/>
    <w:rsid w:val="00184E21"/>
    <w:rsid w:val="001B0A72"/>
    <w:rsid w:val="001B0C75"/>
    <w:rsid w:val="001B171B"/>
    <w:rsid w:val="001B410B"/>
    <w:rsid w:val="001B5995"/>
    <w:rsid w:val="001B767E"/>
    <w:rsid w:val="001C0E49"/>
    <w:rsid w:val="001C4069"/>
    <w:rsid w:val="001C5BFD"/>
    <w:rsid w:val="001D0B10"/>
    <w:rsid w:val="001D268F"/>
    <w:rsid w:val="001D2B96"/>
    <w:rsid w:val="001D3873"/>
    <w:rsid w:val="001D6C73"/>
    <w:rsid w:val="001E07CB"/>
    <w:rsid w:val="001E3531"/>
    <w:rsid w:val="001E3A25"/>
    <w:rsid w:val="001E47E6"/>
    <w:rsid w:val="001F242A"/>
    <w:rsid w:val="001F4240"/>
    <w:rsid w:val="001F7E3E"/>
    <w:rsid w:val="00204813"/>
    <w:rsid w:val="0021557A"/>
    <w:rsid w:val="002246A5"/>
    <w:rsid w:val="00225B10"/>
    <w:rsid w:val="0022616A"/>
    <w:rsid w:val="00226B86"/>
    <w:rsid w:val="00227D1D"/>
    <w:rsid w:val="0023250F"/>
    <w:rsid w:val="0023474B"/>
    <w:rsid w:val="0023711F"/>
    <w:rsid w:val="00242042"/>
    <w:rsid w:val="0024250F"/>
    <w:rsid w:val="0024739E"/>
    <w:rsid w:val="00254257"/>
    <w:rsid w:val="00262614"/>
    <w:rsid w:val="0026591C"/>
    <w:rsid w:val="00267E8A"/>
    <w:rsid w:val="002763C1"/>
    <w:rsid w:val="0027771B"/>
    <w:rsid w:val="00283FC8"/>
    <w:rsid w:val="0028416D"/>
    <w:rsid w:val="00291BB7"/>
    <w:rsid w:val="00297027"/>
    <w:rsid w:val="002A00A5"/>
    <w:rsid w:val="002A4196"/>
    <w:rsid w:val="002A6AB6"/>
    <w:rsid w:val="002B20AA"/>
    <w:rsid w:val="002B6F55"/>
    <w:rsid w:val="002C7FB5"/>
    <w:rsid w:val="002D470B"/>
    <w:rsid w:val="002D5254"/>
    <w:rsid w:val="002D56D8"/>
    <w:rsid w:val="002E2981"/>
    <w:rsid w:val="002E5861"/>
    <w:rsid w:val="002F60C5"/>
    <w:rsid w:val="002F6BD5"/>
    <w:rsid w:val="002F6C46"/>
    <w:rsid w:val="003002F8"/>
    <w:rsid w:val="003113A9"/>
    <w:rsid w:val="00316DCE"/>
    <w:rsid w:val="003222D7"/>
    <w:rsid w:val="003317F8"/>
    <w:rsid w:val="003440DB"/>
    <w:rsid w:val="00347A2B"/>
    <w:rsid w:val="00353045"/>
    <w:rsid w:val="003543D6"/>
    <w:rsid w:val="00363E73"/>
    <w:rsid w:val="003655FF"/>
    <w:rsid w:val="003802D6"/>
    <w:rsid w:val="00381F52"/>
    <w:rsid w:val="00383228"/>
    <w:rsid w:val="00385C20"/>
    <w:rsid w:val="0039430F"/>
    <w:rsid w:val="003953F5"/>
    <w:rsid w:val="00396222"/>
    <w:rsid w:val="003A22A7"/>
    <w:rsid w:val="003A41C2"/>
    <w:rsid w:val="003B4928"/>
    <w:rsid w:val="003C26E3"/>
    <w:rsid w:val="003D162E"/>
    <w:rsid w:val="003D20B5"/>
    <w:rsid w:val="003D2154"/>
    <w:rsid w:val="003D27AF"/>
    <w:rsid w:val="003D58A5"/>
    <w:rsid w:val="003E23BD"/>
    <w:rsid w:val="003F74D9"/>
    <w:rsid w:val="00404A06"/>
    <w:rsid w:val="00407F33"/>
    <w:rsid w:val="00410062"/>
    <w:rsid w:val="00410C4B"/>
    <w:rsid w:val="00411D56"/>
    <w:rsid w:val="004123F6"/>
    <w:rsid w:val="00416CAB"/>
    <w:rsid w:val="004170C1"/>
    <w:rsid w:val="00421EFC"/>
    <w:rsid w:val="00422166"/>
    <w:rsid w:val="004247E6"/>
    <w:rsid w:val="00425FDB"/>
    <w:rsid w:val="0042627D"/>
    <w:rsid w:val="004508C4"/>
    <w:rsid w:val="004549A1"/>
    <w:rsid w:val="00456943"/>
    <w:rsid w:val="004617A1"/>
    <w:rsid w:val="0046384F"/>
    <w:rsid w:val="00465E34"/>
    <w:rsid w:val="0047077A"/>
    <w:rsid w:val="00472918"/>
    <w:rsid w:val="0047295A"/>
    <w:rsid w:val="00483092"/>
    <w:rsid w:val="00490FAF"/>
    <w:rsid w:val="004927CD"/>
    <w:rsid w:val="004956CB"/>
    <w:rsid w:val="004A1FC2"/>
    <w:rsid w:val="004B0E83"/>
    <w:rsid w:val="004B2B6A"/>
    <w:rsid w:val="004B37EF"/>
    <w:rsid w:val="004D2088"/>
    <w:rsid w:val="004D2CA3"/>
    <w:rsid w:val="004D3205"/>
    <w:rsid w:val="004D729A"/>
    <w:rsid w:val="004D768C"/>
    <w:rsid w:val="004E3DB6"/>
    <w:rsid w:val="004E6D55"/>
    <w:rsid w:val="004F14F8"/>
    <w:rsid w:val="004F47CE"/>
    <w:rsid w:val="00503807"/>
    <w:rsid w:val="00515196"/>
    <w:rsid w:val="00516E13"/>
    <w:rsid w:val="00536E4A"/>
    <w:rsid w:val="005442B6"/>
    <w:rsid w:val="00547275"/>
    <w:rsid w:val="00551BD5"/>
    <w:rsid w:val="0055411F"/>
    <w:rsid w:val="00556945"/>
    <w:rsid w:val="0056220B"/>
    <w:rsid w:val="00566ED8"/>
    <w:rsid w:val="00576DC7"/>
    <w:rsid w:val="00577E28"/>
    <w:rsid w:val="005810C9"/>
    <w:rsid w:val="00584321"/>
    <w:rsid w:val="005953D3"/>
    <w:rsid w:val="00597929"/>
    <w:rsid w:val="005A4008"/>
    <w:rsid w:val="005B19C3"/>
    <w:rsid w:val="005C5A72"/>
    <w:rsid w:val="005D1351"/>
    <w:rsid w:val="005D68B7"/>
    <w:rsid w:val="005E15BB"/>
    <w:rsid w:val="005E3196"/>
    <w:rsid w:val="005E7FFE"/>
    <w:rsid w:val="005F003D"/>
    <w:rsid w:val="005F1DD6"/>
    <w:rsid w:val="005F43E5"/>
    <w:rsid w:val="00607BC7"/>
    <w:rsid w:val="00615F2B"/>
    <w:rsid w:val="00622283"/>
    <w:rsid w:val="00624B9A"/>
    <w:rsid w:val="00626FD6"/>
    <w:rsid w:val="00627407"/>
    <w:rsid w:val="00631D11"/>
    <w:rsid w:val="006378D6"/>
    <w:rsid w:val="00637C54"/>
    <w:rsid w:val="006458E3"/>
    <w:rsid w:val="00667E5B"/>
    <w:rsid w:val="006726FE"/>
    <w:rsid w:val="00676EE3"/>
    <w:rsid w:val="006850DE"/>
    <w:rsid w:val="0068644C"/>
    <w:rsid w:val="00686714"/>
    <w:rsid w:val="00694462"/>
    <w:rsid w:val="006A0326"/>
    <w:rsid w:val="006A34F6"/>
    <w:rsid w:val="006B1094"/>
    <w:rsid w:val="006B6D8D"/>
    <w:rsid w:val="006C1F41"/>
    <w:rsid w:val="006C387A"/>
    <w:rsid w:val="006C3C5B"/>
    <w:rsid w:val="006D4419"/>
    <w:rsid w:val="006D7011"/>
    <w:rsid w:val="006F7E5A"/>
    <w:rsid w:val="0070497B"/>
    <w:rsid w:val="00704F2B"/>
    <w:rsid w:val="0071780F"/>
    <w:rsid w:val="007327D4"/>
    <w:rsid w:val="007352A2"/>
    <w:rsid w:val="00735D2A"/>
    <w:rsid w:val="00741193"/>
    <w:rsid w:val="00750DDB"/>
    <w:rsid w:val="007562BE"/>
    <w:rsid w:val="00757CD5"/>
    <w:rsid w:val="00757CDE"/>
    <w:rsid w:val="00760638"/>
    <w:rsid w:val="00763A0E"/>
    <w:rsid w:val="00763A10"/>
    <w:rsid w:val="00764A87"/>
    <w:rsid w:val="00764B5C"/>
    <w:rsid w:val="0077226C"/>
    <w:rsid w:val="00777EF9"/>
    <w:rsid w:val="00796D62"/>
    <w:rsid w:val="007A1613"/>
    <w:rsid w:val="007A182B"/>
    <w:rsid w:val="007B3767"/>
    <w:rsid w:val="007C396A"/>
    <w:rsid w:val="007D695F"/>
    <w:rsid w:val="007E0E26"/>
    <w:rsid w:val="007E38C1"/>
    <w:rsid w:val="007E62D2"/>
    <w:rsid w:val="007F09EE"/>
    <w:rsid w:val="00800E65"/>
    <w:rsid w:val="00802BA6"/>
    <w:rsid w:val="00804D18"/>
    <w:rsid w:val="008140AF"/>
    <w:rsid w:val="008151E5"/>
    <w:rsid w:val="008154D0"/>
    <w:rsid w:val="008358A3"/>
    <w:rsid w:val="00843799"/>
    <w:rsid w:val="00847056"/>
    <w:rsid w:val="00852567"/>
    <w:rsid w:val="00853BB5"/>
    <w:rsid w:val="008559CD"/>
    <w:rsid w:val="00855C40"/>
    <w:rsid w:val="0086492B"/>
    <w:rsid w:val="0086680B"/>
    <w:rsid w:val="0087341A"/>
    <w:rsid w:val="00874B43"/>
    <w:rsid w:val="00886178"/>
    <w:rsid w:val="00893E66"/>
    <w:rsid w:val="008A1338"/>
    <w:rsid w:val="008A4986"/>
    <w:rsid w:val="008B1A05"/>
    <w:rsid w:val="008B47EE"/>
    <w:rsid w:val="008B4901"/>
    <w:rsid w:val="008B5AC4"/>
    <w:rsid w:val="008B64AA"/>
    <w:rsid w:val="008C29F4"/>
    <w:rsid w:val="008C375E"/>
    <w:rsid w:val="008C6484"/>
    <w:rsid w:val="008C7273"/>
    <w:rsid w:val="008D381E"/>
    <w:rsid w:val="008D5174"/>
    <w:rsid w:val="008D775F"/>
    <w:rsid w:val="008E7BF0"/>
    <w:rsid w:val="008F4D2B"/>
    <w:rsid w:val="0090066F"/>
    <w:rsid w:val="00920658"/>
    <w:rsid w:val="0092442A"/>
    <w:rsid w:val="00925F75"/>
    <w:rsid w:val="00932AC8"/>
    <w:rsid w:val="00934F24"/>
    <w:rsid w:val="0093578C"/>
    <w:rsid w:val="009525B5"/>
    <w:rsid w:val="00952E2F"/>
    <w:rsid w:val="00955F46"/>
    <w:rsid w:val="00965AE5"/>
    <w:rsid w:val="00967A59"/>
    <w:rsid w:val="0097559E"/>
    <w:rsid w:val="00975E6A"/>
    <w:rsid w:val="00975FAA"/>
    <w:rsid w:val="00977105"/>
    <w:rsid w:val="00977F3D"/>
    <w:rsid w:val="0098034D"/>
    <w:rsid w:val="009844AA"/>
    <w:rsid w:val="00991D9F"/>
    <w:rsid w:val="00994368"/>
    <w:rsid w:val="009A01FB"/>
    <w:rsid w:val="009B0AB6"/>
    <w:rsid w:val="009B262A"/>
    <w:rsid w:val="009B3ECE"/>
    <w:rsid w:val="009B6CD2"/>
    <w:rsid w:val="009C3B52"/>
    <w:rsid w:val="009C5383"/>
    <w:rsid w:val="009D10FE"/>
    <w:rsid w:val="009D5B63"/>
    <w:rsid w:val="009D5FD0"/>
    <w:rsid w:val="009E270A"/>
    <w:rsid w:val="009E4B66"/>
    <w:rsid w:val="009E71E2"/>
    <w:rsid w:val="009F738D"/>
    <w:rsid w:val="00A00C35"/>
    <w:rsid w:val="00A03E61"/>
    <w:rsid w:val="00A048BE"/>
    <w:rsid w:val="00A05508"/>
    <w:rsid w:val="00A064A3"/>
    <w:rsid w:val="00A1122F"/>
    <w:rsid w:val="00A13166"/>
    <w:rsid w:val="00A21A1B"/>
    <w:rsid w:val="00A23E39"/>
    <w:rsid w:val="00A24E66"/>
    <w:rsid w:val="00A2533C"/>
    <w:rsid w:val="00A279FE"/>
    <w:rsid w:val="00A32EFB"/>
    <w:rsid w:val="00A36674"/>
    <w:rsid w:val="00A459C8"/>
    <w:rsid w:val="00A50796"/>
    <w:rsid w:val="00A60EC0"/>
    <w:rsid w:val="00A627BE"/>
    <w:rsid w:val="00A63DD4"/>
    <w:rsid w:val="00A64AE4"/>
    <w:rsid w:val="00A76B25"/>
    <w:rsid w:val="00A82EC9"/>
    <w:rsid w:val="00A860D6"/>
    <w:rsid w:val="00A8779D"/>
    <w:rsid w:val="00A90C3D"/>
    <w:rsid w:val="00A96AE9"/>
    <w:rsid w:val="00AA018D"/>
    <w:rsid w:val="00AA1691"/>
    <w:rsid w:val="00AA7353"/>
    <w:rsid w:val="00AB3B0C"/>
    <w:rsid w:val="00AB53C9"/>
    <w:rsid w:val="00AC29F0"/>
    <w:rsid w:val="00AD257F"/>
    <w:rsid w:val="00AD4D67"/>
    <w:rsid w:val="00AE19B1"/>
    <w:rsid w:val="00AE1EB6"/>
    <w:rsid w:val="00AE4DCD"/>
    <w:rsid w:val="00AF10B3"/>
    <w:rsid w:val="00AF13D1"/>
    <w:rsid w:val="00AF14F0"/>
    <w:rsid w:val="00AF41C2"/>
    <w:rsid w:val="00AF4581"/>
    <w:rsid w:val="00AF7D61"/>
    <w:rsid w:val="00B03B87"/>
    <w:rsid w:val="00B03DE0"/>
    <w:rsid w:val="00B06968"/>
    <w:rsid w:val="00B113DB"/>
    <w:rsid w:val="00B123C3"/>
    <w:rsid w:val="00B16206"/>
    <w:rsid w:val="00B268C6"/>
    <w:rsid w:val="00B35087"/>
    <w:rsid w:val="00B40475"/>
    <w:rsid w:val="00B42644"/>
    <w:rsid w:val="00B45054"/>
    <w:rsid w:val="00B46CD5"/>
    <w:rsid w:val="00B52E48"/>
    <w:rsid w:val="00B55869"/>
    <w:rsid w:val="00B620E1"/>
    <w:rsid w:val="00B66E1E"/>
    <w:rsid w:val="00B7030B"/>
    <w:rsid w:val="00B70A3E"/>
    <w:rsid w:val="00B75C6C"/>
    <w:rsid w:val="00B76991"/>
    <w:rsid w:val="00B76D21"/>
    <w:rsid w:val="00B80C37"/>
    <w:rsid w:val="00B84942"/>
    <w:rsid w:val="00B87FDB"/>
    <w:rsid w:val="00B95CA8"/>
    <w:rsid w:val="00BA04ED"/>
    <w:rsid w:val="00BA38D0"/>
    <w:rsid w:val="00BA4079"/>
    <w:rsid w:val="00BA4D95"/>
    <w:rsid w:val="00BC009F"/>
    <w:rsid w:val="00BC1FDE"/>
    <w:rsid w:val="00BC3EC3"/>
    <w:rsid w:val="00BC4AB5"/>
    <w:rsid w:val="00BD29DD"/>
    <w:rsid w:val="00BD40AA"/>
    <w:rsid w:val="00BD4BA8"/>
    <w:rsid w:val="00BD558D"/>
    <w:rsid w:val="00BD6ABF"/>
    <w:rsid w:val="00BE26A8"/>
    <w:rsid w:val="00BE4397"/>
    <w:rsid w:val="00BE6801"/>
    <w:rsid w:val="00BE78EA"/>
    <w:rsid w:val="00BF57D9"/>
    <w:rsid w:val="00C13FCD"/>
    <w:rsid w:val="00C1628D"/>
    <w:rsid w:val="00C17655"/>
    <w:rsid w:val="00C24594"/>
    <w:rsid w:val="00C25559"/>
    <w:rsid w:val="00C321F8"/>
    <w:rsid w:val="00C373CD"/>
    <w:rsid w:val="00C420A8"/>
    <w:rsid w:val="00C42BAA"/>
    <w:rsid w:val="00C44BFE"/>
    <w:rsid w:val="00C53150"/>
    <w:rsid w:val="00C53ECE"/>
    <w:rsid w:val="00C6032D"/>
    <w:rsid w:val="00C6226E"/>
    <w:rsid w:val="00C633E3"/>
    <w:rsid w:val="00C746CC"/>
    <w:rsid w:val="00C7475A"/>
    <w:rsid w:val="00C75B29"/>
    <w:rsid w:val="00C82052"/>
    <w:rsid w:val="00C84392"/>
    <w:rsid w:val="00C843FD"/>
    <w:rsid w:val="00C84D2F"/>
    <w:rsid w:val="00C92EA6"/>
    <w:rsid w:val="00CA02C0"/>
    <w:rsid w:val="00CA1CE9"/>
    <w:rsid w:val="00CA4C7A"/>
    <w:rsid w:val="00CB3570"/>
    <w:rsid w:val="00CB49B3"/>
    <w:rsid w:val="00CB5FA2"/>
    <w:rsid w:val="00CB6D0F"/>
    <w:rsid w:val="00CC73FB"/>
    <w:rsid w:val="00CD35B7"/>
    <w:rsid w:val="00CD6440"/>
    <w:rsid w:val="00CE6E3E"/>
    <w:rsid w:val="00CE7E7C"/>
    <w:rsid w:val="00CF04CC"/>
    <w:rsid w:val="00CF1C36"/>
    <w:rsid w:val="00CF508B"/>
    <w:rsid w:val="00CF797B"/>
    <w:rsid w:val="00D05B96"/>
    <w:rsid w:val="00D06053"/>
    <w:rsid w:val="00D0740B"/>
    <w:rsid w:val="00D10DEF"/>
    <w:rsid w:val="00D1179B"/>
    <w:rsid w:val="00D12ABC"/>
    <w:rsid w:val="00D15C88"/>
    <w:rsid w:val="00D2176E"/>
    <w:rsid w:val="00D21B1C"/>
    <w:rsid w:val="00D2567B"/>
    <w:rsid w:val="00D33D98"/>
    <w:rsid w:val="00D349D6"/>
    <w:rsid w:val="00D45AB8"/>
    <w:rsid w:val="00D47181"/>
    <w:rsid w:val="00D554FB"/>
    <w:rsid w:val="00D60EE3"/>
    <w:rsid w:val="00D614C0"/>
    <w:rsid w:val="00D65A45"/>
    <w:rsid w:val="00D74A0B"/>
    <w:rsid w:val="00D8538B"/>
    <w:rsid w:val="00D9000B"/>
    <w:rsid w:val="00D95B99"/>
    <w:rsid w:val="00D978B2"/>
    <w:rsid w:val="00DA5109"/>
    <w:rsid w:val="00DC068A"/>
    <w:rsid w:val="00DC2FCB"/>
    <w:rsid w:val="00DC454D"/>
    <w:rsid w:val="00DC5E44"/>
    <w:rsid w:val="00DC640C"/>
    <w:rsid w:val="00DC72A4"/>
    <w:rsid w:val="00DD05BA"/>
    <w:rsid w:val="00DD088B"/>
    <w:rsid w:val="00DD1002"/>
    <w:rsid w:val="00DD3699"/>
    <w:rsid w:val="00DD617D"/>
    <w:rsid w:val="00DE11BD"/>
    <w:rsid w:val="00DE7029"/>
    <w:rsid w:val="00DF338D"/>
    <w:rsid w:val="00E0101D"/>
    <w:rsid w:val="00E03132"/>
    <w:rsid w:val="00E074E1"/>
    <w:rsid w:val="00E0758F"/>
    <w:rsid w:val="00E10A15"/>
    <w:rsid w:val="00E12B98"/>
    <w:rsid w:val="00E1593D"/>
    <w:rsid w:val="00E17977"/>
    <w:rsid w:val="00E17FEE"/>
    <w:rsid w:val="00E20FA0"/>
    <w:rsid w:val="00E22D3C"/>
    <w:rsid w:val="00E23E17"/>
    <w:rsid w:val="00E33E47"/>
    <w:rsid w:val="00E4340E"/>
    <w:rsid w:val="00E453C5"/>
    <w:rsid w:val="00E5043F"/>
    <w:rsid w:val="00E50FB4"/>
    <w:rsid w:val="00E55F1E"/>
    <w:rsid w:val="00E576CD"/>
    <w:rsid w:val="00E637A7"/>
    <w:rsid w:val="00E65DD8"/>
    <w:rsid w:val="00E66B6A"/>
    <w:rsid w:val="00E67A7F"/>
    <w:rsid w:val="00E709FD"/>
    <w:rsid w:val="00E70DED"/>
    <w:rsid w:val="00E74BAD"/>
    <w:rsid w:val="00E76F6D"/>
    <w:rsid w:val="00E84CDA"/>
    <w:rsid w:val="00E949B9"/>
    <w:rsid w:val="00EA356C"/>
    <w:rsid w:val="00EC3D33"/>
    <w:rsid w:val="00ED3636"/>
    <w:rsid w:val="00ED4450"/>
    <w:rsid w:val="00ED6C24"/>
    <w:rsid w:val="00EF6BB9"/>
    <w:rsid w:val="00EF6F1E"/>
    <w:rsid w:val="00F01354"/>
    <w:rsid w:val="00F039E5"/>
    <w:rsid w:val="00F07BAE"/>
    <w:rsid w:val="00F10F24"/>
    <w:rsid w:val="00F145B7"/>
    <w:rsid w:val="00F21FAF"/>
    <w:rsid w:val="00F27796"/>
    <w:rsid w:val="00F27B4F"/>
    <w:rsid w:val="00F316AF"/>
    <w:rsid w:val="00F320EF"/>
    <w:rsid w:val="00F34215"/>
    <w:rsid w:val="00F3591F"/>
    <w:rsid w:val="00F377A0"/>
    <w:rsid w:val="00F42DF6"/>
    <w:rsid w:val="00F50E87"/>
    <w:rsid w:val="00F53970"/>
    <w:rsid w:val="00F54F43"/>
    <w:rsid w:val="00F56D5A"/>
    <w:rsid w:val="00F6196D"/>
    <w:rsid w:val="00F62EEF"/>
    <w:rsid w:val="00F63521"/>
    <w:rsid w:val="00F64AE8"/>
    <w:rsid w:val="00F71EA4"/>
    <w:rsid w:val="00F764D9"/>
    <w:rsid w:val="00F80087"/>
    <w:rsid w:val="00F85B1B"/>
    <w:rsid w:val="00F94A8D"/>
    <w:rsid w:val="00F9716A"/>
    <w:rsid w:val="00FB29F7"/>
    <w:rsid w:val="00FB73ED"/>
    <w:rsid w:val="00FC340C"/>
    <w:rsid w:val="00FD2FD5"/>
    <w:rsid w:val="00FD5382"/>
    <w:rsid w:val="00FD56B4"/>
    <w:rsid w:val="00FD72A8"/>
    <w:rsid w:val="00FE1385"/>
    <w:rsid w:val="00FE1F47"/>
    <w:rsid w:val="00FE2DD1"/>
    <w:rsid w:val="00FE57F8"/>
    <w:rsid w:val="00FE6698"/>
    <w:rsid w:val="00FE6824"/>
    <w:rsid w:val="00FF012F"/>
    <w:rsid w:val="00FF0281"/>
    <w:rsid w:val="00FF12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8154C8D"/>
  <w15:chartTrackingRefBased/>
  <w15:docId w15:val="{3BBE0335-E7B6-45CA-BA29-520539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658"/>
    <w:pPr>
      <w:spacing w:line="256" w:lineRule="auto"/>
    </w:p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5B9BD5" w:themeColor="accent1"/>
    </w:rPr>
  </w:style>
  <w:style w:type="character" w:customStyle="1" w:styleId="Ttulo4Car">
    <w:name w:val="Título 4 Car"/>
    <w:link w:val="Ttulo4"/>
    <w:uiPriority w:val="9"/>
    <w:rPr>
      <w:rFonts w:asciiTheme="majorHAnsi" w:eastAsiaTheme="majorEastAsia" w:hAnsiTheme="majorHAnsi" w:cstheme="majorBidi"/>
      <w:b/>
      <w:bCs/>
      <w:i/>
      <w:iCs/>
      <w:color w:val="5B9BD5" w:themeColor="accent1"/>
    </w:rPr>
  </w:style>
  <w:style w:type="character" w:customStyle="1" w:styleId="Ttulo5Car">
    <w:name w:val="Título 5 Car"/>
    <w:link w:val="Ttulo5"/>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Prrafodelista">
    <w:name w:val="List Paragraph"/>
    <w:aliases w:val="Fundamentacion,Lista vistosa - Énfasis 11,paul2,Footnote,List Paragraph1,Titulo 1,SubPárrafo de lista,Cuadro 2-1,List number Paragraph,SOP_bullet1,F5 List Paragraph,Dot pt,No Spacing1,List Paragraph Char Char Char,titulo,List Paragraph"/>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
    </w:rPr>
  </w:style>
  <w:style w:type="character" w:styleId="Hipervnculo">
    <w:name w:val="Hyperlink"/>
    <w:basedOn w:val="Fuentedeprrafopredeter"/>
    <w:uiPriority w:val="99"/>
    <w:unhideWhenUsed/>
    <w:rPr>
      <w:color w:val="0563C1" w:themeColor="hyperlink"/>
      <w:u w:val="single"/>
    </w:rPr>
  </w:style>
  <w:style w:type="character" w:customStyle="1" w:styleId="PrrafodelistaCar">
    <w:name w:val="Párrafo de lista Car"/>
    <w:aliases w:val="Fundamentacion Car,Lista vistosa - Énfasis 11 Car,paul2 Car,Footnote Car,List Paragraph1 Car,Titulo 1 Car,SubPárrafo de lista Car,Cuadro 2-1 Car,List number Paragraph Car,SOP_bullet1 Car,F5 List Paragraph Car,Dot pt Car,titulo Car"/>
    <w:link w:val="Prrafodelista"/>
    <w:uiPriority w:val="34"/>
    <w:qFormat/>
    <w:rPr>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lang w:eastAsia="es-PE"/>
    </w:rPr>
  </w:style>
  <w:style w:type="paragraph" w:customStyle="1" w:styleId="Default">
    <w:name w:val="Default"/>
    <w:uiPriority w:val="99"/>
    <w:pPr>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paragraph" w:customStyle="1" w:styleId="Parrafo-gior">
    <w:name w:val="Parrafo-gior"/>
    <w:basedOn w:val="Normal"/>
    <w:uiPriority w:val="99"/>
    <w:pPr>
      <w:spacing w:before="100" w:after="100"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styleId="Textoennegrita">
    <w:name w:val="Strong"/>
    <w:basedOn w:val="Fuentedeprrafopredeter"/>
    <w:uiPriority w:val="22"/>
    <w:qFormat/>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table" w:styleId="Tablaconcuadrcula">
    <w:name w:val="Table Grid"/>
    <w:basedOn w:val="Tablanormal"/>
    <w:uiPriority w:val="39"/>
    <w:rsid w:val="0086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C84D2F"/>
    <w:rPr>
      <w:color w:val="605E5C"/>
      <w:shd w:val="clear" w:color="auto" w:fill="E1DFDD"/>
    </w:rPr>
  </w:style>
  <w:style w:type="character" w:customStyle="1" w:styleId="Mencinsinresolver5">
    <w:name w:val="Mención sin resolver5"/>
    <w:basedOn w:val="Fuentedeprrafopredeter"/>
    <w:uiPriority w:val="99"/>
    <w:semiHidden/>
    <w:unhideWhenUsed/>
    <w:rsid w:val="00694462"/>
    <w:rPr>
      <w:color w:val="605E5C"/>
      <w:shd w:val="clear" w:color="auto" w:fill="E1DFDD"/>
    </w:rPr>
  </w:style>
  <w:style w:type="character" w:customStyle="1" w:styleId="ui-provider">
    <w:name w:val="ui-provider"/>
    <w:basedOn w:val="Fuentedeprrafopredeter"/>
    <w:rsid w:val="00154B15"/>
  </w:style>
  <w:style w:type="character" w:customStyle="1" w:styleId="xcontentpasted1">
    <w:name w:val="x_contentpasted1"/>
    <w:basedOn w:val="Fuentedeprrafopredeter"/>
    <w:rsid w:val="0070497B"/>
    <w:rPr>
      <w:rFonts w:ascii="Times New Roman" w:hAnsi="Times New Roman" w:cs="Times New Roman" w:hint="default"/>
    </w:rPr>
  </w:style>
  <w:style w:type="paragraph" w:styleId="Textodeglobo">
    <w:name w:val="Balloon Text"/>
    <w:basedOn w:val="Normal"/>
    <w:link w:val="TextodegloboCar"/>
    <w:uiPriority w:val="99"/>
    <w:semiHidden/>
    <w:unhideWhenUsed/>
    <w:rsid w:val="00CB49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49B3"/>
    <w:rPr>
      <w:rFonts w:ascii="Segoe UI" w:hAnsi="Segoe UI" w:cs="Segoe UI"/>
      <w:sz w:val="18"/>
      <w:szCs w:val="18"/>
    </w:rPr>
  </w:style>
  <w:style w:type="paragraph" w:customStyle="1" w:styleId="selectable-text">
    <w:name w:val="selectable-text"/>
    <w:basedOn w:val="Normal"/>
    <w:rsid w:val="00631D11"/>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467">
      <w:bodyDiv w:val="1"/>
      <w:marLeft w:val="0"/>
      <w:marRight w:val="0"/>
      <w:marTop w:val="0"/>
      <w:marBottom w:val="0"/>
      <w:divBdr>
        <w:top w:val="none" w:sz="0" w:space="0" w:color="auto"/>
        <w:left w:val="none" w:sz="0" w:space="0" w:color="auto"/>
        <w:bottom w:val="none" w:sz="0" w:space="0" w:color="auto"/>
        <w:right w:val="none" w:sz="0" w:space="0" w:color="auto"/>
      </w:divBdr>
    </w:div>
    <w:div w:id="138154629">
      <w:bodyDiv w:val="1"/>
      <w:marLeft w:val="0"/>
      <w:marRight w:val="0"/>
      <w:marTop w:val="0"/>
      <w:marBottom w:val="0"/>
      <w:divBdr>
        <w:top w:val="none" w:sz="0" w:space="0" w:color="auto"/>
        <w:left w:val="none" w:sz="0" w:space="0" w:color="auto"/>
        <w:bottom w:val="none" w:sz="0" w:space="0" w:color="auto"/>
        <w:right w:val="none" w:sz="0" w:space="0" w:color="auto"/>
      </w:divBdr>
    </w:div>
    <w:div w:id="471870109">
      <w:bodyDiv w:val="1"/>
      <w:marLeft w:val="0"/>
      <w:marRight w:val="0"/>
      <w:marTop w:val="0"/>
      <w:marBottom w:val="0"/>
      <w:divBdr>
        <w:top w:val="none" w:sz="0" w:space="0" w:color="auto"/>
        <w:left w:val="none" w:sz="0" w:space="0" w:color="auto"/>
        <w:bottom w:val="none" w:sz="0" w:space="0" w:color="auto"/>
        <w:right w:val="none" w:sz="0" w:space="0" w:color="auto"/>
      </w:divBdr>
    </w:div>
    <w:div w:id="500513017">
      <w:bodyDiv w:val="1"/>
      <w:marLeft w:val="0"/>
      <w:marRight w:val="0"/>
      <w:marTop w:val="0"/>
      <w:marBottom w:val="0"/>
      <w:divBdr>
        <w:top w:val="none" w:sz="0" w:space="0" w:color="auto"/>
        <w:left w:val="none" w:sz="0" w:space="0" w:color="auto"/>
        <w:bottom w:val="none" w:sz="0" w:space="0" w:color="auto"/>
        <w:right w:val="none" w:sz="0" w:space="0" w:color="auto"/>
      </w:divBdr>
    </w:div>
    <w:div w:id="699818813">
      <w:bodyDiv w:val="1"/>
      <w:marLeft w:val="0"/>
      <w:marRight w:val="0"/>
      <w:marTop w:val="0"/>
      <w:marBottom w:val="0"/>
      <w:divBdr>
        <w:top w:val="none" w:sz="0" w:space="0" w:color="auto"/>
        <w:left w:val="none" w:sz="0" w:space="0" w:color="auto"/>
        <w:bottom w:val="none" w:sz="0" w:space="0" w:color="auto"/>
        <w:right w:val="none" w:sz="0" w:space="0" w:color="auto"/>
      </w:divBdr>
    </w:div>
    <w:div w:id="993989869">
      <w:bodyDiv w:val="1"/>
      <w:marLeft w:val="0"/>
      <w:marRight w:val="0"/>
      <w:marTop w:val="0"/>
      <w:marBottom w:val="0"/>
      <w:divBdr>
        <w:top w:val="none" w:sz="0" w:space="0" w:color="auto"/>
        <w:left w:val="none" w:sz="0" w:space="0" w:color="auto"/>
        <w:bottom w:val="none" w:sz="0" w:space="0" w:color="auto"/>
        <w:right w:val="none" w:sz="0" w:space="0" w:color="auto"/>
      </w:divBdr>
    </w:div>
    <w:div w:id="1041516329">
      <w:bodyDiv w:val="1"/>
      <w:marLeft w:val="0"/>
      <w:marRight w:val="0"/>
      <w:marTop w:val="0"/>
      <w:marBottom w:val="0"/>
      <w:divBdr>
        <w:top w:val="none" w:sz="0" w:space="0" w:color="auto"/>
        <w:left w:val="none" w:sz="0" w:space="0" w:color="auto"/>
        <w:bottom w:val="none" w:sz="0" w:space="0" w:color="auto"/>
        <w:right w:val="none" w:sz="0" w:space="0" w:color="auto"/>
      </w:divBdr>
    </w:div>
    <w:div w:id="1526092625">
      <w:bodyDiv w:val="1"/>
      <w:marLeft w:val="0"/>
      <w:marRight w:val="0"/>
      <w:marTop w:val="0"/>
      <w:marBottom w:val="0"/>
      <w:divBdr>
        <w:top w:val="none" w:sz="0" w:space="0" w:color="auto"/>
        <w:left w:val="none" w:sz="0" w:space="0" w:color="auto"/>
        <w:bottom w:val="none" w:sz="0" w:space="0" w:color="auto"/>
        <w:right w:val="none" w:sz="0" w:space="0" w:color="auto"/>
      </w:divBdr>
    </w:div>
    <w:div w:id="1753506578">
      <w:bodyDiv w:val="1"/>
      <w:marLeft w:val="0"/>
      <w:marRight w:val="0"/>
      <w:marTop w:val="0"/>
      <w:marBottom w:val="0"/>
      <w:divBdr>
        <w:top w:val="none" w:sz="0" w:space="0" w:color="auto"/>
        <w:left w:val="none" w:sz="0" w:space="0" w:color="auto"/>
        <w:bottom w:val="none" w:sz="0" w:space="0" w:color="auto"/>
        <w:right w:val="none" w:sz="0" w:space="0" w:color="auto"/>
      </w:divBdr>
    </w:div>
    <w:div w:id="20738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5188-8BC9-4D25-980F-0CE0A906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Herrera Villanueva</dc:creator>
  <cp:lastModifiedBy>Reynaldo Fernandez Campos</cp:lastModifiedBy>
  <cp:revision>2</cp:revision>
  <cp:lastPrinted>2024-12-20T16:24:00Z</cp:lastPrinted>
  <dcterms:created xsi:type="dcterms:W3CDTF">2025-06-22T13:52:00Z</dcterms:created>
  <dcterms:modified xsi:type="dcterms:W3CDTF">2025-06-22T13:52:00Z</dcterms:modified>
</cp:coreProperties>
</file>