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31F1" w14:textId="53CE84C3" w:rsidR="0093786A" w:rsidRDefault="0015184D" w:rsidP="0093786A">
      <w:pPr>
        <w:spacing w:after="0" w:line="240" w:lineRule="auto"/>
        <w:jc w:val="center"/>
        <w:rPr>
          <w:b/>
          <w:sz w:val="28"/>
          <w:szCs w:val="28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CA3779">
        <w:rPr>
          <w:rFonts w:ascii="Calibri" w:hAnsi="Calibri" w:cs="Calibri"/>
          <w:b/>
          <w:sz w:val="30"/>
          <w:szCs w:val="30"/>
          <w:u w:val="single"/>
          <w:lang w:val="es-MX"/>
        </w:rPr>
        <w:t>7</w:t>
      </w:r>
      <w:r w:rsidR="00D70785">
        <w:rPr>
          <w:rFonts w:ascii="Calibri" w:hAnsi="Calibri" w:cs="Calibri"/>
          <w:b/>
          <w:sz w:val="30"/>
          <w:szCs w:val="30"/>
          <w:u w:val="single"/>
          <w:lang w:val="es-MX"/>
        </w:rPr>
        <w:t>4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  <w:r w:rsidR="0093786A" w:rsidRPr="0093786A">
        <w:rPr>
          <w:b/>
          <w:sz w:val="28"/>
          <w:szCs w:val="28"/>
        </w:rPr>
        <w:t xml:space="preserve"> </w:t>
      </w:r>
    </w:p>
    <w:p w14:paraId="1323F83F" w14:textId="77777777" w:rsidR="00D70785" w:rsidRDefault="00D70785" w:rsidP="00D70785">
      <w:pPr>
        <w:shd w:val="clear" w:color="auto" w:fill="FFFFFF" w:themeFill="background1"/>
        <w:spacing w:after="0" w:line="240" w:lineRule="auto"/>
        <w:jc w:val="center"/>
        <w:rPr>
          <w:rFonts w:ascii="Calibri" w:eastAsia="Calibri" w:hAnsi="Calibri" w:cs="Calibri"/>
          <w:b/>
          <w:bCs/>
          <w:color w:val="303030"/>
          <w:sz w:val="32"/>
          <w:szCs w:val="32"/>
        </w:rPr>
      </w:pPr>
      <w:bookmarkStart w:id="0" w:name="_GoBack"/>
      <w:r>
        <w:rPr>
          <w:rFonts w:ascii="Calibri" w:eastAsia="Calibri" w:hAnsi="Calibri" w:cs="Calibri"/>
          <w:b/>
          <w:bCs/>
          <w:color w:val="303030"/>
          <w:sz w:val="32"/>
          <w:szCs w:val="32"/>
        </w:rPr>
        <w:t>OSIPTEL y la UIT realizan primer simulacro para fortalecer respuesta de servicios de telecomunicaciones ante sismos de gran magnitud</w:t>
      </w:r>
    </w:p>
    <w:bookmarkEnd w:id="0"/>
    <w:p w14:paraId="65F7479A" w14:textId="77777777" w:rsidR="00D70785" w:rsidRPr="00D65AD9" w:rsidRDefault="00D70785" w:rsidP="00D70785">
      <w:pPr>
        <w:pStyle w:val="Prrafodelista"/>
        <w:numPr>
          <w:ilvl w:val="0"/>
          <w:numId w:val="26"/>
        </w:numPr>
        <w:tabs>
          <w:tab w:val="left" w:pos="5865"/>
        </w:tabs>
        <w:spacing w:after="120"/>
        <w:jc w:val="both"/>
        <w:rPr>
          <w:rFonts w:ascii="Calibri" w:eastAsia="Calibri" w:hAnsi="Calibri" w:cs="Calibri"/>
          <w:color w:val="303030"/>
          <w:sz w:val="24"/>
          <w:szCs w:val="24"/>
        </w:rPr>
      </w:pPr>
      <w:r w:rsidRPr="00D65AD9">
        <w:rPr>
          <w:rFonts w:ascii="Calibri" w:eastAsia="Calibri" w:hAnsi="Calibri" w:cs="Calibri"/>
          <w:color w:val="303030"/>
          <w:sz w:val="24"/>
          <w:szCs w:val="24"/>
        </w:rPr>
        <w:t xml:space="preserve">Ejercicio de simulación 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para la rápida recuperación de los </w:t>
      </w:r>
      <w:r w:rsidRPr="00D65AD9">
        <w:rPr>
          <w:rFonts w:ascii="Calibri" w:eastAsia="Calibri" w:hAnsi="Calibri" w:cs="Calibri"/>
          <w:color w:val="303030"/>
          <w:sz w:val="24"/>
          <w:szCs w:val="24"/>
        </w:rPr>
        <w:t>servicios se desarrolló en la ciudad de Ica con la participación de representantes de las empresas operadoras, entidades públicas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, así como miembros </w:t>
      </w:r>
      <w:r w:rsidRPr="00D65AD9">
        <w:rPr>
          <w:rFonts w:ascii="Calibri" w:eastAsia="Calibri" w:hAnsi="Calibri" w:cs="Calibri"/>
          <w:color w:val="303030"/>
          <w:sz w:val="24"/>
          <w:szCs w:val="24"/>
        </w:rPr>
        <w:t xml:space="preserve">de las fuerzas armadas. </w:t>
      </w:r>
    </w:p>
    <w:p w14:paraId="5A82BA0F" w14:textId="77777777" w:rsidR="00D70785" w:rsidRDefault="00D70785" w:rsidP="00D70785">
      <w:pPr>
        <w:spacing w:after="120"/>
        <w:jc w:val="both"/>
        <w:rPr>
          <w:rFonts w:ascii="Calibri" w:eastAsia="Calibri" w:hAnsi="Calibri" w:cs="Calibri"/>
          <w:color w:val="303030"/>
          <w:sz w:val="24"/>
          <w:szCs w:val="24"/>
        </w:rPr>
      </w:pP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El </w:t>
      </w:r>
      <w:r w:rsidRPr="007F1F69">
        <w:rPr>
          <w:rFonts w:ascii="Calibri" w:eastAsia="Calibri" w:hAnsi="Calibri" w:cs="Calibri"/>
          <w:b/>
          <w:color w:val="303030"/>
          <w:sz w:val="24"/>
          <w:szCs w:val="24"/>
        </w:rPr>
        <w:t>Organismo Supervisor de Inversión Privada en Telecomunicaciones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(</w:t>
      </w:r>
      <w:r w:rsidRPr="00DD1C38">
        <w:rPr>
          <w:rFonts w:ascii="Calibri" w:eastAsia="Calibri" w:hAnsi="Calibri" w:cs="Calibri"/>
          <w:b/>
          <w:bCs/>
          <w:color w:val="303030"/>
          <w:sz w:val="24"/>
          <w:szCs w:val="24"/>
        </w:rPr>
        <w:t>OSIPTEL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>)</w:t>
      </w:r>
      <w:r w:rsidRPr="00833A0D">
        <w:rPr>
          <w:rFonts w:ascii="Calibri" w:eastAsia="Calibri" w:hAnsi="Calibri" w:cs="Calibri"/>
          <w:color w:val="303030"/>
          <w:sz w:val="24"/>
          <w:szCs w:val="24"/>
        </w:rPr>
        <w:t xml:space="preserve">, con el apoyo de la </w:t>
      </w:r>
      <w:r w:rsidRPr="00B04480">
        <w:rPr>
          <w:rFonts w:ascii="Calibri" w:eastAsia="Calibri" w:hAnsi="Calibri" w:cs="Calibri"/>
          <w:b/>
          <w:color w:val="303030"/>
          <w:sz w:val="24"/>
          <w:szCs w:val="24"/>
        </w:rPr>
        <w:t>Unión Internacional de Telecomunicaciones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(</w:t>
      </w:r>
      <w:r w:rsidRPr="00B04480">
        <w:rPr>
          <w:rFonts w:ascii="Calibri" w:eastAsia="Calibri" w:hAnsi="Calibri" w:cs="Calibri"/>
          <w:b/>
          <w:color w:val="303030"/>
          <w:sz w:val="24"/>
          <w:szCs w:val="24"/>
        </w:rPr>
        <w:t>UIT</w:t>
      </w:r>
      <w:r>
        <w:rPr>
          <w:rFonts w:ascii="Calibri" w:eastAsia="Calibri" w:hAnsi="Calibri" w:cs="Calibri"/>
          <w:color w:val="303030"/>
          <w:sz w:val="24"/>
          <w:szCs w:val="24"/>
        </w:rPr>
        <w:t>)</w:t>
      </w:r>
      <w:r w:rsidRPr="00833A0D">
        <w:rPr>
          <w:rFonts w:ascii="Calibri" w:eastAsia="Calibri" w:hAnsi="Calibri" w:cs="Calibri"/>
          <w:color w:val="303030"/>
          <w:sz w:val="24"/>
          <w:szCs w:val="24"/>
        </w:rPr>
        <w:t>,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realizó por primera vez en el Perú un simulacro de interrupción de los </w:t>
      </w:r>
      <w:r w:rsidRPr="00B04480">
        <w:rPr>
          <w:rFonts w:ascii="Calibri" w:eastAsia="Calibri" w:hAnsi="Calibri" w:cs="Calibri"/>
          <w:b/>
          <w:color w:val="303030"/>
          <w:sz w:val="24"/>
          <w:szCs w:val="24"/>
        </w:rPr>
        <w:t>servicios públicos de telecomunicaciones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ocasionado por un fenómeno natural en la región </w:t>
      </w:r>
      <w:r w:rsidRPr="00B04480">
        <w:rPr>
          <w:rFonts w:ascii="Calibri" w:eastAsia="Calibri" w:hAnsi="Calibri" w:cs="Calibri"/>
          <w:b/>
          <w:color w:val="303030"/>
          <w:sz w:val="24"/>
          <w:szCs w:val="24"/>
        </w:rPr>
        <w:t>Ica</w:t>
      </w:r>
      <w:r>
        <w:rPr>
          <w:rFonts w:ascii="Calibri" w:eastAsia="Calibri" w:hAnsi="Calibri" w:cs="Calibri"/>
          <w:color w:val="303030"/>
          <w:sz w:val="24"/>
          <w:szCs w:val="24"/>
        </w:rPr>
        <w:t>.</w:t>
      </w:r>
    </w:p>
    <w:p w14:paraId="6428A67E" w14:textId="77777777" w:rsidR="00D70785" w:rsidRDefault="00D70785" w:rsidP="00D70785">
      <w:pPr>
        <w:spacing w:after="120"/>
        <w:jc w:val="both"/>
      </w:pPr>
      <w:r>
        <w:rPr>
          <w:rFonts w:ascii="Calibri" w:eastAsia="Calibri" w:hAnsi="Calibri" w:cs="Calibri"/>
          <w:color w:val="303030"/>
          <w:sz w:val="24"/>
          <w:szCs w:val="24"/>
        </w:rPr>
        <w:t xml:space="preserve">Especialistas de la UIT fueron enviados especialmente para este ejercicio, el cual fue desarrollado bajo un escenario simulado de un sismo de 8.8 grados, </w:t>
      </w:r>
      <w:r w:rsidRPr="00D65AD9">
        <w:rPr>
          <w:rFonts w:ascii="Calibri" w:eastAsia="Calibri" w:hAnsi="Calibri" w:cs="Calibri"/>
          <w:color w:val="303030"/>
          <w:sz w:val="24"/>
          <w:szCs w:val="24"/>
        </w:rPr>
        <w:t>con epicentro frente a Pisco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(</w:t>
      </w:r>
      <w:r w:rsidRPr="00D65AD9">
        <w:rPr>
          <w:rFonts w:ascii="Calibri" w:eastAsia="Calibri" w:hAnsi="Calibri" w:cs="Calibri"/>
          <w:color w:val="303030"/>
          <w:sz w:val="24"/>
          <w:szCs w:val="24"/>
        </w:rPr>
        <w:t>Ica</w:t>
      </w:r>
      <w:r>
        <w:rPr>
          <w:rFonts w:ascii="Calibri" w:eastAsia="Calibri" w:hAnsi="Calibri" w:cs="Calibri"/>
          <w:color w:val="303030"/>
          <w:sz w:val="24"/>
          <w:szCs w:val="24"/>
        </w:rPr>
        <w:t>) y</w:t>
      </w:r>
      <w:r w:rsidRPr="00D65AD9">
        <w:rPr>
          <w:rFonts w:ascii="Calibri" w:eastAsia="Calibri" w:hAnsi="Calibri" w:cs="Calibri"/>
          <w:color w:val="303030"/>
          <w:sz w:val="24"/>
          <w:szCs w:val="24"/>
        </w:rPr>
        <w:t xml:space="preserve"> percibido a nivel nacional</w:t>
      </w:r>
      <w:r>
        <w:rPr>
          <w:rFonts w:ascii="Calibri" w:eastAsia="Calibri" w:hAnsi="Calibri" w:cs="Calibri"/>
          <w:color w:val="303030"/>
          <w:sz w:val="24"/>
          <w:szCs w:val="24"/>
        </w:rPr>
        <w:t>. Con esta actividad se evaluó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las 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>acciones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y capacidad 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>de respuesta</w:t>
      </w:r>
      <w:r>
        <w:rPr>
          <w:rFonts w:ascii="Calibri" w:eastAsia="Calibri" w:hAnsi="Calibri" w:cs="Calibri"/>
          <w:color w:val="303030"/>
          <w:sz w:val="24"/>
          <w:szCs w:val="24"/>
        </w:rPr>
        <w:t>, coordinación y toma de decisiones de los principales actores involucrados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en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situaciones de desastres naturales 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extremos 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>que puedan afectar la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continuidad de los servicios de telecomunicaciones 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en </w:t>
      </w:r>
      <w:r>
        <w:rPr>
          <w:rFonts w:ascii="Calibri" w:eastAsia="Calibri" w:hAnsi="Calibri" w:cs="Calibri"/>
          <w:color w:val="303030"/>
          <w:sz w:val="24"/>
          <w:szCs w:val="24"/>
        </w:rPr>
        <w:t>el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país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>.</w:t>
      </w:r>
    </w:p>
    <w:p w14:paraId="06880FD6" w14:textId="77777777" w:rsidR="00D70785" w:rsidRDefault="00D70785" w:rsidP="00D70785">
      <w:pPr>
        <w:spacing w:after="120"/>
        <w:jc w:val="both"/>
        <w:rPr>
          <w:rFonts w:ascii="Calibri" w:eastAsia="Calibri" w:hAnsi="Calibri" w:cs="Calibri"/>
          <w:color w:val="303030"/>
          <w:sz w:val="24"/>
          <w:szCs w:val="24"/>
        </w:rPr>
      </w:pP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El evento contó con la participación articulada de entidades del Estado, </w:t>
      </w:r>
      <w:r>
        <w:rPr>
          <w:rFonts w:ascii="Calibri" w:eastAsia="Calibri" w:hAnsi="Calibri" w:cs="Calibri"/>
          <w:color w:val="303030"/>
          <w:sz w:val="24"/>
          <w:szCs w:val="24"/>
        </w:rPr>
        <w:t>como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el </w:t>
      </w:r>
      <w:r w:rsidRPr="00AF057F">
        <w:rPr>
          <w:rFonts w:ascii="Calibri" w:eastAsia="Calibri" w:hAnsi="Calibri" w:cs="Calibri"/>
          <w:b/>
          <w:color w:val="303030"/>
          <w:sz w:val="24"/>
          <w:szCs w:val="24"/>
        </w:rPr>
        <w:t>Ministerio de Transportes y Comunicaciones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, la </w:t>
      </w:r>
      <w:r w:rsidRPr="00AF057F">
        <w:rPr>
          <w:rFonts w:ascii="Calibri" w:eastAsia="Calibri" w:hAnsi="Calibri" w:cs="Calibri"/>
          <w:b/>
          <w:color w:val="303030"/>
          <w:sz w:val="24"/>
          <w:szCs w:val="24"/>
        </w:rPr>
        <w:t>Dirección Regional de Transportes y Comunicaciones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del </w:t>
      </w:r>
      <w:r w:rsidRPr="00AF057F">
        <w:rPr>
          <w:rFonts w:ascii="Calibri" w:eastAsia="Calibri" w:hAnsi="Calibri" w:cs="Calibri"/>
          <w:b/>
          <w:color w:val="303030"/>
          <w:sz w:val="24"/>
          <w:szCs w:val="24"/>
        </w:rPr>
        <w:t>Gobierno Regional de Ica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el </w:t>
      </w:r>
      <w:r w:rsidRPr="00CB5CBD">
        <w:rPr>
          <w:rFonts w:ascii="Calibri" w:eastAsia="Calibri" w:hAnsi="Calibri" w:cs="Calibri"/>
          <w:b/>
          <w:bCs/>
          <w:color w:val="303030"/>
          <w:sz w:val="24"/>
          <w:szCs w:val="24"/>
        </w:rPr>
        <w:t>Centro Nacional de Estimación, Prevención y Reducción del Riesgo de Desastres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y el </w:t>
      </w:r>
      <w:r w:rsidRPr="00AF057F">
        <w:rPr>
          <w:rFonts w:ascii="Calibri" w:eastAsia="Calibri" w:hAnsi="Calibri" w:cs="Calibri"/>
          <w:b/>
          <w:color w:val="303030"/>
          <w:sz w:val="24"/>
          <w:szCs w:val="24"/>
        </w:rPr>
        <w:t>Instituto Nacional de Defensa Civil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>.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Asimismo, estuvieron representantes de las empresas operadoras de servicios de telecomunicaciones, el </w:t>
      </w:r>
      <w:r w:rsidRPr="00AF057F">
        <w:rPr>
          <w:rFonts w:ascii="Calibri" w:eastAsia="Calibri" w:hAnsi="Calibri" w:cs="Calibri"/>
          <w:b/>
          <w:color w:val="303030"/>
          <w:sz w:val="24"/>
          <w:szCs w:val="24"/>
        </w:rPr>
        <w:t>Programa Nacional de Telecomunicaciones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, el </w:t>
      </w:r>
      <w:r w:rsidRPr="00AF057F">
        <w:rPr>
          <w:rFonts w:ascii="Calibri" w:eastAsia="Calibri" w:hAnsi="Calibri" w:cs="Calibri"/>
          <w:b/>
          <w:color w:val="303030"/>
          <w:sz w:val="24"/>
          <w:szCs w:val="24"/>
        </w:rPr>
        <w:t>Organismo Supervisor de la Inversión en Energía y Minería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y las </w:t>
      </w:r>
      <w:r w:rsidRPr="00AF057F">
        <w:rPr>
          <w:rFonts w:ascii="Calibri" w:eastAsia="Calibri" w:hAnsi="Calibri" w:cs="Calibri"/>
          <w:b/>
          <w:color w:val="303030"/>
          <w:sz w:val="24"/>
          <w:szCs w:val="24"/>
        </w:rPr>
        <w:t>Fuerzas Armadas del Perú</w:t>
      </w:r>
      <w:r>
        <w:rPr>
          <w:rFonts w:ascii="Calibri" w:eastAsia="Calibri" w:hAnsi="Calibri" w:cs="Calibri"/>
          <w:color w:val="303030"/>
          <w:sz w:val="24"/>
          <w:szCs w:val="24"/>
        </w:rPr>
        <w:t>.</w:t>
      </w:r>
    </w:p>
    <w:p w14:paraId="2CD432F9" w14:textId="77777777" w:rsidR="00D70785" w:rsidRDefault="00D70785" w:rsidP="00D70785">
      <w:pPr>
        <w:spacing w:after="120"/>
        <w:jc w:val="both"/>
      </w:pP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Esta </w:t>
      </w:r>
      <w:r>
        <w:rPr>
          <w:rFonts w:ascii="Calibri" w:eastAsia="Calibri" w:hAnsi="Calibri" w:cs="Calibri"/>
          <w:color w:val="303030"/>
          <w:sz w:val="24"/>
          <w:szCs w:val="24"/>
        </w:rPr>
        <w:t>articulación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busca asegurar que, ante un </w:t>
      </w:r>
      <w:r>
        <w:rPr>
          <w:rFonts w:ascii="Calibri" w:eastAsia="Calibri" w:hAnsi="Calibri" w:cs="Calibri"/>
          <w:color w:val="303030"/>
          <w:sz w:val="24"/>
          <w:szCs w:val="24"/>
        </w:rPr>
        <w:t>fenómeno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de tal naturaleza, el trabajo conjunto se manifieste en una reacción rápida y efectiva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 para atender los efectos de sismos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>.</w:t>
      </w:r>
    </w:p>
    <w:p w14:paraId="63B45711" w14:textId="77777777" w:rsidR="00D70785" w:rsidRDefault="00D70785" w:rsidP="00D70785">
      <w:pPr>
        <w:spacing w:after="120"/>
        <w:jc w:val="both"/>
        <w:rPr>
          <w:rFonts w:ascii="Calibri" w:eastAsia="Calibri" w:hAnsi="Calibri" w:cs="Calibri"/>
          <w:color w:val="303030"/>
          <w:sz w:val="24"/>
          <w:szCs w:val="24"/>
        </w:rPr>
      </w:pP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Durante el taller, se </w:t>
      </w:r>
      <w:r>
        <w:rPr>
          <w:rFonts w:ascii="Calibri" w:eastAsia="Calibri" w:hAnsi="Calibri" w:cs="Calibri"/>
          <w:color w:val="303030"/>
          <w:sz w:val="24"/>
          <w:szCs w:val="24"/>
        </w:rPr>
        <w:t>señaló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que 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el 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OSIPTEL </w:t>
      </w:r>
      <w:r>
        <w:rPr>
          <w:rFonts w:ascii="Calibri" w:eastAsia="Calibri" w:hAnsi="Calibri" w:cs="Calibri"/>
          <w:color w:val="303030"/>
          <w:sz w:val="24"/>
          <w:szCs w:val="24"/>
        </w:rPr>
        <w:t>tiene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protocolo</w:t>
      </w:r>
      <w:r>
        <w:rPr>
          <w:rFonts w:ascii="Calibri" w:eastAsia="Calibri" w:hAnsi="Calibri" w:cs="Calibri"/>
          <w:color w:val="303030"/>
          <w:sz w:val="24"/>
          <w:szCs w:val="24"/>
        </w:rPr>
        <w:t>s operativos y normativos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>apropiados ante afectaciones de los servicios de telecomunicaciones. Asimismo, cuenta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con 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un centro de monitoreo capaz de verificar a nivel nacional 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y 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en tiempo real si las estaciones base celulares se encuentran operativas tras un </w:t>
      </w:r>
      <w:r>
        <w:rPr>
          <w:rFonts w:ascii="Calibri" w:eastAsia="Calibri" w:hAnsi="Calibri" w:cs="Calibri"/>
          <w:color w:val="303030"/>
          <w:sz w:val="24"/>
          <w:szCs w:val="24"/>
        </w:rPr>
        <w:t>fenómeno natural extremo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>.</w:t>
      </w:r>
    </w:p>
    <w:p w14:paraId="187D1480" w14:textId="77777777" w:rsidR="00D70785" w:rsidRDefault="00D70785" w:rsidP="00D70785">
      <w:pPr>
        <w:spacing w:after="120"/>
        <w:jc w:val="both"/>
        <w:rPr>
          <w:rFonts w:ascii="Calibri" w:eastAsia="Calibri" w:hAnsi="Calibri" w:cs="Calibri"/>
          <w:color w:val="303030"/>
          <w:sz w:val="24"/>
          <w:szCs w:val="24"/>
        </w:rPr>
      </w:pPr>
      <w:r w:rsidRPr="001728E7">
        <w:rPr>
          <w:rFonts w:ascii="Calibri" w:eastAsia="Calibri" w:hAnsi="Calibri" w:cs="Calibri"/>
          <w:color w:val="303030"/>
          <w:sz w:val="24"/>
          <w:szCs w:val="24"/>
        </w:rPr>
        <w:t>Aunque los últimos sismos no han generado interrupciones totales ni afectaciones relevantes, el OSIPTEL subrayó que estos talleres son clave para asegurar una reacción rápida y coordinada ante emergencias de mayor escala, donde la caída de las comunicaciones impacta también en diversos servicios públicos y privados que funcionan a través de internet.</w:t>
      </w:r>
    </w:p>
    <w:p w14:paraId="6549067F" w14:textId="11882681" w:rsidR="00501C91" w:rsidRPr="00501C91" w:rsidRDefault="00D70785" w:rsidP="00D70785">
      <w:pPr>
        <w:spacing w:after="0" w:line="240" w:lineRule="auto"/>
        <w:jc w:val="both"/>
        <w:rPr>
          <w:bCs/>
          <w:sz w:val="24"/>
          <w:szCs w:val="24"/>
          <w:lang w:val="es-MX"/>
        </w:rPr>
      </w:pP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Los resultados obtenidos en este taller </w:t>
      </w:r>
      <w:r>
        <w:rPr>
          <w:rFonts w:ascii="Calibri" w:eastAsia="Calibri" w:hAnsi="Calibri" w:cs="Calibri"/>
          <w:color w:val="303030"/>
          <w:sz w:val="24"/>
          <w:szCs w:val="24"/>
        </w:rPr>
        <w:t>son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 fundamentales para 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actualizar protocolos, mejorar equipamiento, tomar acuerdos anticipados 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fortalecer las redes institucionales </w:t>
      </w:r>
      <w:r w:rsidRPr="5B6CC92A">
        <w:rPr>
          <w:rFonts w:ascii="Calibri" w:eastAsia="Calibri" w:hAnsi="Calibri" w:cs="Calibri"/>
          <w:color w:val="303030"/>
          <w:sz w:val="24"/>
          <w:szCs w:val="24"/>
        </w:rPr>
        <w:t xml:space="preserve">para optimizar la atención de emergencias </w:t>
      </w:r>
      <w:r>
        <w:rPr>
          <w:rFonts w:ascii="Calibri" w:eastAsia="Calibri" w:hAnsi="Calibri" w:cs="Calibri"/>
          <w:color w:val="303030"/>
          <w:sz w:val="24"/>
          <w:szCs w:val="24"/>
        </w:rPr>
        <w:t>futuras, con la finalidad de garantizar la continuidad o el rápido restablecimiento de los servicios de telecomunicaciones ante la ocurrencia de fenómenos naturales extremos.</w:t>
      </w:r>
    </w:p>
    <w:p w14:paraId="0719371E" w14:textId="516D1EBD" w:rsidR="000549E7" w:rsidRPr="00501C91" w:rsidRDefault="00501C91" w:rsidP="00501C91">
      <w:pPr>
        <w:spacing w:after="0" w:line="240" w:lineRule="auto"/>
        <w:jc w:val="right"/>
        <w:rPr>
          <w:rFonts w:cstheme="minorHAnsi"/>
          <w:b/>
          <w:color w:val="212529"/>
          <w:sz w:val="24"/>
          <w:szCs w:val="24"/>
        </w:rPr>
      </w:pPr>
      <w:r w:rsidRPr="00501C91">
        <w:rPr>
          <w:b/>
          <w:sz w:val="24"/>
          <w:szCs w:val="24"/>
          <w:lang w:val="es-MX"/>
        </w:rPr>
        <w:lastRenderedPageBreak/>
        <w:t xml:space="preserve">Lima, </w:t>
      </w:r>
      <w:r w:rsidR="00D70785">
        <w:rPr>
          <w:b/>
          <w:sz w:val="24"/>
          <w:szCs w:val="24"/>
          <w:lang w:val="es-MX"/>
        </w:rPr>
        <w:t>31</w:t>
      </w:r>
      <w:r w:rsidRPr="00501C91">
        <w:rPr>
          <w:b/>
          <w:sz w:val="24"/>
          <w:szCs w:val="24"/>
          <w:lang w:val="es-MX"/>
        </w:rPr>
        <w:t xml:space="preserve"> de mayo de 2026</w:t>
      </w:r>
    </w:p>
    <w:sectPr w:rsidR="000549E7" w:rsidRPr="00501C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C5D81" w14:textId="77777777" w:rsidR="0050158E" w:rsidRDefault="0050158E" w:rsidP="0015184D">
      <w:pPr>
        <w:spacing w:after="0" w:line="240" w:lineRule="auto"/>
      </w:pPr>
      <w:r>
        <w:separator/>
      </w:r>
    </w:p>
  </w:endnote>
  <w:endnote w:type="continuationSeparator" w:id="0">
    <w:p w14:paraId="18B696CF" w14:textId="77777777" w:rsidR="0050158E" w:rsidRDefault="0050158E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6E27D756">
          <wp:simplePos x="0" y="0"/>
          <wp:positionH relativeFrom="page">
            <wp:posOffset>-5715</wp:posOffset>
          </wp:positionH>
          <wp:positionV relativeFrom="paragraph">
            <wp:posOffset>-280035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3FA62" w14:textId="77777777" w:rsidR="0050158E" w:rsidRDefault="0050158E" w:rsidP="0015184D">
      <w:pPr>
        <w:spacing w:after="0" w:line="240" w:lineRule="auto"/>
      </w:pPr>
      <w:r>
        <w:separator/>
      </w:r>
    </w:p>
  </w:footnote>
  <w:footnote w:type="continuationSeparator" w:id="0">
    <w:p w14:paraId="383AEDBA" w14:textId="77777777" w:rsidR="0050158E" w:rsidRDefault="0050158E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01FF12F">
          <wp:simplePos x="0" y="0"/>
          <wp:positionH relativeFrom="page">
            <wp:posOffset>-5715</wp:posOffset>
          </wp:positionH>
          <wp:positionV relativeFrom="paragraph">
            <wp:posOffset>-505381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036"/>
    <w:multiLevelType w:val="hybridMultilevel"/>
    <w:tmpl w:val="27426C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264C3"/>
    <w:multiLevelType w:val="hybridMultilevel"/>
    <w:tmpl w:val="9B8259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B74"/>
    <w:multiLevelType w:val="hybridMultilevel"/>
    <w:tmpl w:val="E918DC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A2565"/>
    <w:multiLevelType w:val="hybridMultilevel"/>
    <w:tmpl w:val="824651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73DFF"/>
    <w:multiLevelType w:val="hybridMultilevel"/>
    <w:tmpl w:val="39C6F0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097C0DE1"/>
    <w:multiLevelType w:val="hybridMultilevel"/>
    <w:tmpl w:val="2E249F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E538C4"/>
    <w:multiLevelType w:val="hybridMultilevel"/>
    <w:tmpl w:val="081C751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0E5160A6"/>
    <w:multiLevelType w:val="hybridMultilevel"/>
    <w:tmpl w:val="2D2440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886578"/>
    <w:multiLevelType w:val="hybridMultilevel"/>
    <w:tmpl w:val="D892F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06FCC"/>
    <w:multiLevelType w:val="hybridMultilevel"/>
    <w:tmpl w:val="464052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CE209C"/>
    <w:multiLevelType w:val="hybridMultilevel"/>
    <w:tmpl w:val="782838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02855"/>
    <w:multiLevelType w:val="hybridMultilevel"/>
    <w:tmpl w:val="E810713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1CBF76DB"/>
    <w:multiLevelType w:val="hybridMultilevel"/>
    <w:tmpl w:val="253E05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F6609"/>
    <w:multiLevelType w:val="hybridMultilevel"/>
    <w:tmpl w:val="679A12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B80F94"/>
    <w:multiLevelType w:val="hybridMultilevel"/>
    <w:tmpl w:val="A85A347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 w15:restartNumberingAfterBreak="0">
    <w:nsid w:val="2F48105A"/>
    <w:multiLevelType w:val="hybridMultilevel"/>
    <w:tmpl w:val="FEEE9C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911A00"/>
    <w:multiLevelType w:val="hybridMultilevel"/>
    <w:tmpl w:val="7070DED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39414175"/>
    <w:multiLevelType w:val="hybridMultilevel"/>
    <w:tmpl w:val="C6F42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B2146"/>
    <w:multiLevelType w:val="hybridMultilevel"/>
    <w:tmpl w:val="4724A98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5B8C41AA"/>
    <w:multiLevelType w:val="hybridMultilevel"/>
    <w:tmpl w:val="92DEEE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CE24A8"/>
    <w:multiLevelType w:val="hybridMultilevel"/>
    <w:tmpl w:val="DE923B9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72806"/>
    <w:multiLevelType w:val="hybridMultilevel"/>
    <w:tmpl w:val="519A1A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E97900"/>
    <w:multiLevelType w:val="hybridMultilevel"/>
    <w:tmpl w:val="792E4F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3" w15:restartNumberingAfterBreak="0">
    <w:nsid w:val="64475266"/>
    <w:multiLevelType w:val="hybridMultilevel"/>
    <w:tmpl w:val="B442C6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4" w15:restartNumberingAfterBreak="0">
    <w:nsid w:val="7AE0317E"/>
    <w:multiLevelType w:val="hybridMultilevel"/>
    <w:tmpl w:val="C0CE4AB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75420A"/>
    <w:multiLevelType w:val="hybridMultilevel"/>
    <w:tmpl w:val="678A8012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3"/>
  </w:num>
  <w:num w:numId="4">
    <w:abstractNumId w:val="3"/>
  </w:num>
  <w:num w:numId="5">
    <w:abstractNumId w:val="21"/>
  </w:num>
  <w:num w:numId="6">
    <w:abstractNumId w:val="18"/>
  </w:num>
  <w:num w:numId="7">
    <w:abstractNumId w:val="2"/>
  </w:num>
  <w:num w:numId="8">
    <w:abstractNumId w:val="15"/>
  </w:num>
  <w:num w:numId="9">
    <w:abstractNumId w:val="4"/>
  </w:num>
  <w:num w:numId="10">
    <w:abstractNumId w:val="11"/>
  </w:num>
  <w:num w:numId="11">
    <w:abstractNumId w:val="25"/>
  </w:num>
  <w:num w:numId="12">
    <w:abstractNumId w:val="8"/>
  </w:num>
  <w:num w:numId="13">
    <w:abstractNumId w:val="1"/>
  </w:num>
  <w:num w:numId="14">
    <w:abstractNumId w:val="5"/>
  </w:num>
  <w:num w:numId="15">
    <w:abstractNumId w:val="17"/>
  </w:num>
  <w:num w:numId="16">
    <w:abstractNumId w:val="6"/>
  </w:num>
  <w:num w:numId="17">
    <w:abstractNumId w:val="0"/>
  </w:num>
  <w:num w:numId="18">
    <w:abstractNumId w:val="14"/>
  </w:num>
  <w:num w:numId="19">
    <w:abstractNumId w:val="19"/>
  </w:num>
  <w:num w:numId="20">
    <w:abstractNumId w:val="16"/>
  </w:num>
  <w:num w:numId="21">
    <w:abstractNumId w:val="24"/>
  </w:num>
  <w:num w:numId="22">
    <w:abstractNumId w:val="9"/>
  </w:num>
  <w:num w:numId="23">
    <w:abstractNumId w:val="12"/>
  </w:num>
  <w:num w:numId="24">
    <w:abstractNumId w:val="13"/>
  </w:num>
  <w:num w:numId="25">
    <w:abstractNumId w:val="10"/>
  </w:num>
  <w:num w:numId="2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0B"/>
    <w:rsid w:val="0000504D"/>
    <w:rsid w:val="00011B51"/>
    <w:rsid w:val="000147FB"/>
    <w:rsid w:val="00027CF3"/>
    <w:rsid w:val="0004502F"/>
    <w:rsid w:val="00051CFD"/>
    <w:rsid w:val="000549E7"/>
    <w:rsid w:val="00055F03"/>
    <w:rsid w:val="000622E3"/>
    <w:rsid w:val="000672ED"/>
    <w:rsid w:val="00074306"/>
    <w:rsid w:val="00076A32"/>
    <w:rsid w:val="00085BCF"/>
    <w:rsid w:val="000A6443"/>
    <w:rsid w:val="000B589A"/>
    <w:rsid w:val="000D098A"/>
    <w:rsid w:val="000D7FD8"/>
    <w:rsid w:val="000E25D0"/>
    <w:rsid w:val="00100DBA"/>
    <w:rsid w:val="0010553B"/>
    <w:rsid w:val="00105CAD"/>
    <w:rsid w:val="00107FE9"/>
    <w:rsid w:val="001225A4"/>
    <w:rsid w:val="00123D95"/>
    <w:rsid w:val="00141008"/>
    <w:rsid w:val="0014150D"/>
    <w:rsid w:val="0015184D"/>
    <w:rsid w:val="00167154"/>
    <w:rsid w:val="00177368"/>
    <w:rsid w:val="0018440B"/>
    <w:rsid w:val="001868A6"/>
    <w:rsid w:val="001903DB"/>
    <w:rsid w:val="00192FB5"/>
    <w:rsid w:val="001A75E7"/>
    <w:rsid w:val="001D00A2"/>
    <w:rsid w:val="001D1E35"/>
    <w:rsid w:val="001E04F1"/>
    <w:rsid w:val="001F3736"/>
    <w:rsid w:val="0020024C"/>
    <w:rsid w:val="00226802"/>
    <w:rsid w:val="00253311"/>
    <w:rsid w:val="00265AA9"/>
    <w:rsid w:val="00283A6C"/>
    <w:rsid w:val="0028498F"/>
    <w:rsid w:val="00285988"/>
    <w:rsid w:val="0029215D"/>
    <w:rsid w:val="002A14D9"/>
    <w:rsid w:val="002A600F"/>
    <w:rsid w:val="002C5BC3"/>
    <w:rsid w:val="002C7C12"/>
    <w:rsid w:val="002F122F"/>
    <w:rsid w:val="00301822"/>
    <w:rsid w:val="00321AC4"/>
    <w:rsid w:val="0033543B"/>
    <w:rsid w:val="00355F03"/>
    <w:rsid w:val="00362545"/>
    <w:rsid w:val="00383BFA"/>
    <w:rsid w:val="00386A57"/>
    <w:rsid w:val="00397107"/>
    <w:rsid w:val="003A6C4C"/>
    <w:rsid w:val="003A77FD"/>
    <w:rsid w:val="003B0539"/>
    <w:rsid w:val="003C7EC3"/>
    <w:rsid w:val="003D5D6A"/>
    <w:rsid w:val="003E3EEF"/>
    <w:rsid w:val="003F46D0"/>
    <w:rsid w:val="004060E6"/>
    <w:rsid w:val="00415976"/>
    <w:rsid w:val="00423ADF"/>
    <w:rsid w:val="0042601D"/>
    <w:rsid w:val="004500E3"/>
    <w:rsid w:val="00451803"/>
    <w:rsid w:val="00454028"/>
    <w:rsid w:val="0047144A"/>
    <w:rsid w:val="00492C8F"/>
    <w:rsid w:val="00494BB6"/>
    <w:rsid w:val="004B16E1"/>
    <w:rsid w:val="004B26D6"/>
    <w:rsid w:val="004B6934"/>
    <w:rsid w:val="004C0923"/>
    <w:rsid w:val="004D355A"/>
    <w:rsid w:val="004E2B06"/>
    <w:rsid w:val="0050158E"/>
    <w:rsid w:val="00501C91"/>
    <w:rsid w:val="005026A6"/>
    <w:rsid w:val="00512F27"/>
    <w:rsid w:val="0052190C"/>
    <w:rsid w:val="00527157"/>
    <w:rsid w:val="005367FD"/>
    <w:rsid w:val="00545EE2"/>
    <w:rsid w:val="00552378"/>
    <w:rsid w:val="00553636"/>
    <w:rsid w:val="0058469C"/>
    <w:rsid w:val="0059274F"/>
    <w:rsid w:val="0059685C"/>
    <w:rsid w:val="005A29B4"/>
    <w:rsid w:val="005B2300"/>
    <w:rsid w:val="005B63AC"/>
    <w:rsid w:val="005C13D6"/>
    <w:rsid w:val="005D7F40"/>
    <w:rsid w:val="005E7470"/>
    <w:rsid w:val="005F7A7A"/>
    <w:rsid w:val="00605DDA"/>
    <w:rsid w:val="00620F8F"/>
    <w:rsid w:val="0065212F"/>
    <w:rsid w:val="0066026F"/>
    <w:rsid w:val="00675758"/>
    <w:rsid w:val="006C1206"/>
    <w:rsid w:val="006D55B9"/>
    <w:rsid w:val="006F64A4"/>
    <w:rsid w:val="006F6F68"/>
    <w:rsid w:val="007248E9"/>
    <w:rsid w:val="00730185"/>
    <w:rsid w:val="007429DF"/>
    <w:rsid w:val="00752818"/>
    <w:rsid w:val="007633C7"/>
    <w:rsid w:val="00766BFF"/>
    <w:rsid w:val="0078477F"/>
    <w:rsid w:val="00792565"/>
    <w:rsid w:val="0079413B"/>
    <w:rsid w:val="0079676B"/>
    <w:rsid w:val="00797050"/>
    <w:rsid w:val="007B694C"/>
    <w:rsid w:val="007C133A"/>
    <w:rsid w:val="007C6866"/>
    <w:rsid w:val="007C7236"/>
    <w:rsid w:val="007D3392"/>
    <w:rsid w:val="007E5008"/>
    <w:rsid w:val="007F2620"/>
    <w:rsid w:val="0080241C"/>
    <w:rsid w:val="00805309"/>
    <w:rsid w:val="008219BC"/>
    <w:rsid w:val="00834AAC"/>
    <w:rsid w:val="008356DE"/>
    <w:rsid w:val="00835EBC"/>
    <w:rsid w:val="0084173B"/>
    <w:rsid w:val="00841ECF"/>
    <w:rsid w:val="00847809"/>
    <w:rsid w:val="0084796E"/>
    <w:rsid w:val="00856CB1"/>
    <w:rsid w:val="00873985"/>
    <w:rsid w:val="00875F9C"/>
    <w:rsid w:val="00876AA8"/>
    <w:rsid w:val="008903E3"/>
    <w:rsid w:val="00891B25"/>
    <w:rsid w:val="008B137B"/>
    <w:rsid w:val="008F3E1D"/>
    <w:rsid w:val="00904750"/>
    <w:rsid w:val="0093786A"/>
    <w:rsid w:val="009378D3"/>
    <w:rsid w:val="00943397"/>
    <w:rsid w:val="00967AEB"/>
    <w:rsid w:val="00980AB1"/>
    <w:rsid w:val="009A3A04"/>
    <w:rsid w:val="009A5553"/>
    <w:rsid w:val="009C5801"/>
    <w:rsid w:val="009D3F92"/>
    <w:rsid w:val="009E6962"/>
    <w:rsid w:val="00A028E8"/>
    <w:rsid w:val="00A05B97"/>
    <w:rsid w:val="00A05D8D"/>
    <w:rsid w:val="00A22642"/>
    <w:rsid w:val="00A321F9"/>
    <w:rsid w:val="00A33ABA"/>
    <w:rsid w:val="00A3568A"/>
    <w:rsid w:val="00A357D5"/>
    <w:rsid w:val="00A544EA"/>
    <w:rsid w:val="00A66539"/>
    <w:rsid w:val="00A67C60"/>
    <w:rsid w:val="00A714EC"/>
    <w:rsid w:val="00A75C0F"/>
    <w:rsid w:val="00AD58E5"/>
    <w:rsid w:val="00AE1B5B"/>
    <w:rsid w:val="00AF23C0"/>
    <w:rsid w:val="00B051B0"/>
    <w:rsid w:val="00B14643"/>
    <w:rsid w:val="00B278C6"/>
    <w:rsid w:val="00B356AE"/>
    <w:rsid w:val="00B43BD5"/>
    <w:rsid w:val="00B50D06"/>
    <w:rsid w:val="00BE0E41"/>
    <w:rsid w:val="00BE1499"/>
    <w:rsid w:val="00BE729C"/>
    <w:rsid w:val="00BF454E"/>
    <w:rsid w:val="00BF4C9A"/>
    <w:rsid w:val="00BF6BAE"/>
    <w:rsid w:val="00C00FFD"/>
    <w:rsid w:val="00C5474B"/>
    <w:rsid w:val="00C6119B"/>
    <w:rsid w:val="00C662C3"/>
    <w:rsid w:val="00C6756C"/>
    <w:rsid w:val="00C74021"/>
    <w:rsid w:val="00C809C3"/>
    <w:rsid w:val="00C93B98"/>
    <w:rsid w:val="00C94719"/>
    <w:rsid w:val="00CA3779"/>
    <w:rsid w:val="00CA3A02"/>
    <w:rsid w:val="00CB169A"/>
    <w:rsid w:val="00CB531C"/>
    <w:rsid w:val="00CB6F61"/>
    <w:rsid w:val="00CB7FA0"/>
    <w:rsid w:val="00D114E2"/>
    <w:rsid w:val="00D21377"/>
    <w:rsid w:val="00D41519"/>
    <w:rsid w:val="00D617C4"/>
    <w:rsid w:val="00D70785"/>
    <w:rsid w:val="00D71B8F"/>
    <w:rsid w:val="00DA77DA"/>
    <w:rsid w:val="00DB6F9C"/>
    <w:rsid w:val="00DC623B"/>
    <w:rsid w:val="00DD4543"/>
    <w:rsid w:val="00DE5310"/>
    <w:rsid w:val="00DF4480"/>
    <w:rsid w:val="00DF5E4A"/>
    <w:rsid w:val="00E05D00"/>
    <w:rsid w:val="00E06CE5"/>
    <w:rsid w:val="00E1366E"/>
    <w:rsid w:val="00E159D3"/>
    <w:rsid w:val="00E511CE"/>
    <w:rsid w:val="00E627E5"/>
    <w:rsid w:val="00E80FFA"/>
    <w:rsid w:val="00E84973"/>
    <w:rsid w:val="00E90245"/>
    <w:rsid w:val="00E94765"/>
    <w:rsid w:val="00EE2139"/>
    <w:rsid w:val="00EF40D1"/>
    <w:rsid w:val="00EF6237"/>
    <w:rsid w:val="00EF7DD7"/>
    <w:rsid w:val="00F050CC"/>
    <w:rsid w:val="00F2783A"/>
    <w:rsid w:val="00F45480"/>
    <w:rsid w:val="00F622E2"/>
    <w:rsid w:val="00F6702A"/>
    <w:rsid w:val="00F67852"/>
    <w:rsid w:val="00FD1312"/>
    <w:rsid w:val="00FD3F21"/>
    <w:rsid w:val="00FE32D4"/>
    <w:rsid w:val="00FE4B43"/>
    <w:rsid w:val="00FE5B07"/>
    <w:rsid w:val="00FF2A9F"/>
    <w:rsid w:val="00FF539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  <w:style w:type="paragraph" w:styleId="Textocomentario">
    <w:name w:val="annotation text"/>
    <w:basedOn w:val="Normal"/>
    <w:link w:val="TextocomentarioCar"/>
    <w:uiPriority w:val="99"/>
    <w:unhideWhenUsed/>
    <w:rsid w:val="00A05D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D8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2264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9413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225A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1D0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Reynaldo Fernandez Campos</cp:lastModifiedBy>
  <cp:revision>2</cp:revision>
  <dcterms:created xsi:type="dcterms:W3CDTF">2026-05-31T16:09:00Z</dcterms:created>
  <dcterms:modified xsi:type="dcterms:W3CDTF">2026-05-31T16:09:00Z</dcterms:modified>
</cp:coreProperties>
</file>