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C6670" w14:textId="0419B463" w:rsidR="006D4419" w:rsidRDefault="006D4419" w:rsidP="006D4419">
      <w:pPr>
        <w:spacing w:after="0" w:line="240" w:lineRule="auto"/>
        <w:jc w:val="center"/>
        <w:rPr>
          <w:b/>
          <w:sz w:val="32"/>
          <w:szCs w:val="32"/>
          <w:u w:val="single"/>
          <w:lang w:val="es-MX"/>
        </w:rPr>
      </w:pPr>
      <w:r>
        <w:rPr>
          <w:b/>
          <w:sz w:val="32"/>
          <w:szCs w:val="32"/>
          <w:u w:val="single"/>
        </w:rPr>
        <w:t xml:space="preserve">NOTA DE PRENSA </w:t>
      </w:r>
      <w:r w:rsidR="00FF012F">
        <w:rPr>
          <w:b/>
          <w:sz w:val="32"/>
          <w:szCs w:val="32"/>
          <w:u w:val="single"/>
          <w:lang w:val="es-MX"/>
        </w:rPr>
        <w:t xml:space="preserve">N.° </w:t>
      </w:r>
      <w:r w:rsidR="00667E5B">
        <w:rPr>
          <w:b/>
          <w:sz w:val="32"/>
          <w:szCs w:val="32"/>
          <w:u w:val="single"/>
          <w:lang w:val="es-MX"/>
        </w:rPr>
        <w:t>88</w:t>
      </w:r>
      <w:r w:rsidR="00062B9C">
        <w:rPr>
          <w:b/>
          <w:sz w:val="32"/>
          <w:szCs w:val="32"/>
          <w:u w:val="single"/>
          <w:lang w:val="es-MX"/>
        </w:rPr>
        <w:t>-</w:t>
      </w:r>
      <w:r>
        <w:rPr>
          <w:b/>
          <w:sz w:val="32"/>
          <w:szCs w:val="32"/>
          <w:u w:val="single"/>
          <w:lang w:val="es-MX"/>
        </w:rPr>
        <w:t>2024</w:t>
      </w:r>
    </w:p>
    <w:p w14:paraId="04657EB8" w14:textId="77777777" w:rsidR="008B4901" w:rsidRPr="008A52FD" w:rsidRDefault="008B4901" w:rsidP="008B4901">
      <w:pPr>
        <w:pStyle w:val="Ttulo2"/>
        <w:jc w:val="center"/>
        <w:rPr>
          <w:rFonts w:asciiTheme="minorHAnsi" w:hAnsiTheme="minorHAnsi" w:cstheme="minorHAnsi"/>
          <w:b w:val="0"/>
          <w:bCs w:val="0"/>
          <w:color w:val="auto"/>
          <w:sz w:val="32"/>
          <w:szCs w:val="32"/>
          <w:lang w:val="es-MX"/>
        </w:rPr>
      </w:pPr>
      <w:r w:rsidRPr="008A52FD">
        <w:rPr>
          <w:rFonts w:asciiTheme="minorHAnsi" w:hAnsiTheme="minorHAnsi" w:cstheme="minorHAnsi"/>
          <w:color w:val="auto"/>
          <w:sz w:val="32"/>
          <w:szCs w:val="32"/>
          <w:lang w:val="es-MX"/>
        </w:rPr>
        <w:t xml:space="preserve">OSIPTEL: </w:t>
      </w:r>
      <w:r>
        <w:rPr>
          <w:rFonts w:asciiTheme="minorHAnsi" w:hAnsiTheme="minorHAnsi" w:cstheme="minorHAnsi"/>
          <w:color w:val="auto"/>
          <w:sz w:val="32"/>
          <w:szCs w:val="32"/>
          <w:lang w:val="es-MX"/>
        </w:rPr>
        <w:t>¿qué empresa lidera el mercado de</w:t>
      </w:r>
      <w:r w:rsidRPr="00B65360">
        <w:rPr>
          <w:rFonts w:asciiTheme="minorHAnsi" w:hAnsiTheme="minorHAnsi" w:cstheme="minorHAnsi"/>
          <w:color w:val="auto"/>
          <w:sz w:val="32"/>
          <w:szCs w:val="32"/>
          <w:lang w:val="es-MX"/>
        </w:rPr>
        <w:t xml:space="preserve"> fibra óptica en</w:t>
      </w:r>
      <w:r>
        <w:rPr>
          <w:rFonts w:asciiTheme="minorHAnsi" w:hAnsiTheme="minorHAnsi" w:cstheme="minorHAnsi"/>
          <w:color w:val="auto"/>
          <w:sz w:val="32"/>
          <w:szCs w:val="32"/>
          <w:lang w:val="es-MX"/>
        </w:rPr>
        <w:t xml:space="preserve"> las regiones?</w:t>
      </w:r>
    </w:p>
    <w:p w14:paraId="44BB056D" w14:textId="77777777" w:rsidR="008B4901" w:rsidRDefault="008B4901" w:rsidP="008B4901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Sin considerar Lima y Callao, </w:t>
      </w:r>
      <w:proofErr w:type="spellStart"/>
      <w:r w:rsidRPr="0066586E">
        <w:rPr>
          <w:sz w:val="24"/>
          <w:szCs w:val="24"/>
          <w:lang w:val="es-MX"/>
        </w:rPr>
        <w:t>Wow</w:t>
      </w:r>
      <w:proofErr w:type="spellEnd"/>
      <w:r w:rsidRPr="0066586E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tiene la mayor participación en el mercado de fibra óptica</w:t>
      </w:r>
      <w:r w:rsidRPr="0066586E">
        <w:rPr>
          <w:sz w:val="24"/>
          <w:szCs w:val="24"/>
          <w:lang w:val="es-MX"/>
        </w:rPr>
        <w:t xml:space="preserve"> en </w:t>
      </w:r>
      <w:r>
        <w:rPr>
          <w:sz w:val="24"/>
          <w:szCs w:val="24"/>
          <w:lang w:val="es-MX"/>
        </w:rPr>
        <w:t>catorce</w:t>
      </w:r>
      <w:r w:rsidRPr="0066586E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regiones. Telefónica y Claro, lideran el mercado en cinco y tres regiones, respectivamente.</w:t>
      </w:r>
    </w:p>
    <w:p w14:paraId="55CC035C" w14:textId="77777777" w:rsidR="008B4901" w:rsidRPr="0066586E" w:rsidRDefault="008B4901" w:rsidP="008B4901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0EA9B552" w14:textId="77777777" w:rsidR="008B4901" w:rsidRDefault="008B4901" w:rsidP="008B4901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El número de conexiones de internet fijo con fibra óptica en regiones (sin considerar Lima y Callao) creció 67.08 %, al pasar de 672 845 conexiones en junio de 2023 a 1 124 205 conexiones al cierre del primer semestre de 2024, </w:t>
      </w:r>
      <w:r w:rsidRPr="00B637AF">
        <w:rPr>
          <w:rFonts w:cstheme="minorHAnsi"/>
          <w:sz w:val="24"/>
          <w:szCs w:val="24"/>
          <w:shd w:val="clear" w:color="auto" w:fill="FFFFFF"/>
        </w:rPr>
        <w:t>informó el Organismo Supervisor de Inversión Privada en Telecomunicaciones (OSIPTEL).</w:t>
      </w:r>
    </w:p>
    <w:p w14:paraId="1F9DB68D" w14:textId="77777777" w:rsidR="008B4901" w:rsidRDefault="008B4901" w:rsidP="008B4901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0070F5B3" w14:textId="77777777" w:rsidR="008B4901" w:rsidRDefault="008B4901" w:rsidP="008B4901">
      <w:pPr>
        <w:spacing w:after="0" w:line="240" w:lineRule="auto"/>
        <w:jc w:val="both"/>
        <w:rPr>
          <w:rFonts w:cstheme="minorHAnsi"/>
          <w:sz w:val="24"/>
          <w:szCs w:val="24"/>
          <w:lang w:val="es-ES_tradnl"/>
        </w:rPr>
      </w:pPr>
      <w:r>
        <w:rPr>
          <w:rFonts w:cstheme="minorHAnsi"/>
          <w:sz w:val="24"/>
          <w:szCs w:val="24"/>
          <w:lang w:val="es-ES_tradnl"/>
        </w:rPr>
        <w:t>De esta manera, el despliegue de la tecnología de</w:t>
      </w:r>
      <w:bookmarkStart w:id="0" w:name="_GoBack"/>
      <w:bookmarkEnd w:id="0"/>
      <w:r>
        <w:rPr>
          <w:rFonts w:cstheme="minorHAnsi"/>
          <w:sz w:val="24"/>
          <w:szCs w:val="24"/>
          <w:lang w:val="es-ES_tradnl"/>
        </w:rPr>
        <w:t xml:space="preserve"> fibra óptica continua su avance en las regiones, quienes en conjunto representan el 44.25</w:t>
      </w:r>
      <w:r w:rsidRPr="00D57903">
        <w:rPr>
          <w:rFonts w:cstheme="minorHAnsi"/>
          <w:sz w:val="24"/>
          <w:szCs w:val="24"/>
          <w:lang w:val="es-ES_tradnl"/>
        </w:rPr>
        <w:t xml:space="preserve"> % del to</w:t>
      </w:r>
      <w:r>
        <w:rPr>
          <w:rFonts w:cstheme="minorHAnsi"/>
          <w:sz w:val="24"/>
          <w:szCs w:val="24"/>
          <w:lang w:val="es-ES_tradnl"/>
        </w:rPr>
        <w:t xml:space="preserve">tal nacional (2 540 374), </w:t>
      </w:r>
      <w:r w:rsidRPr="007C7C85">
        <w:rPr>
          <w:rFonts w:cstheme="minorHAnsi"/>
          <w:sz w:val="24"/>
          <w:szCs w:val="24"/>
          <w:lang w:val="es-ES_tradnl"/>
        </w:rPr>
        <w:t xml:space="preserve"> </w:t>
      </w:r>
      <w:r>
        <w:rPr>
          <w:rFonts w:cstheme="minorHAnsi"/>
          <w:sz w:val="24"/>
          <w:szCs w:val="24"/>
          <w:lang w:val="es-ES_tradnl"/>
        </w:rPr>
        <w:t xml:space="preserve">de acuerdo a la información publicada en el </w:t>
      </w:r>
      <w:r w:rsidRPr="00D57903">
        <w:rPr>
          <w:rFonts w:cstheme="minorHAnsi"/>
          <w:sz w:val="24"/>
          <w:szCs w:val="24"/>
          <w:lang w:val="es-ES_tradnl"/>
        </w:rPr>
        <w:t xml:space="preserve">portal informativo </w:t>
      </w:r>
      <w:hyperlink r:id="rId8" w:history="1">
        <w:r w:rsidRPr="0030061F">
          <w:rPr>
            <w:rStyle w:val="Hipervnculo"/>
            <w:rFonts w:cstheme="minorHAnsi"/>
            <w:b/>
            <w:sz w:val="24"/>
            <w:szCs w:val="24"/>
            <w:lang w:val="es-ES_tradnl"/>
          </w:rPr>
          <w:t>PUNKU</w:t>
        </w:r>
      </w:hyperlink>
      <w:r>
        <w:rPr>
          <w:rFonts w:cstheme="minorHAnsi"/>
          <w:sz w:val="24"/>
          <w:szCs w:val="24"/>
          <w:lang w:val="es-ES_tradnl"/>
        </w:rPr>
        <w:t xml:space="preserve"> (</w:t>
      </w:r>
      <w:hyperlink r:id="rId9" w:history="1">
        <w:r w:rsidRPr="006A4A01">
          <w:rPr>
            <w:rStyle w:val="Hipervnculo"/>
            <w:rFonts w:cstheme="minorHAnsi"/>
            <w:sz w:val="24"/>
            <w:szCs w:val="24"/>
            <w:lang w:val="es-ES_tradnl"/>
          </w:rPr>
          <w:t>https://punku.osiptel.gob.pe/</w:t>
        </w:r>
      </w:hyperlink>
      <w:r>
        <w:rPr>
          <w:rFonts w:cstheme="minorHAnsi"/>
          <w:sz w:val="24"/>
          <w:szCs w:val="24"/>
          <w:lang w:val="es-ES_tradnl"/>
        </w:rPr>
        <w:t>).</w:t>
      </w:r>
    </w:p>
    <w:p w14:paraId="088E8988" w14:textId="77777777" w:rsidR="008B4901" w:rsidRDefault="008B4901" w:rsidP="008B4901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5F3ECE0B" w14:textId="77777777" w:rsidR="008B4901" w:rsidRDefault="008B4901" w:rsidP="008B4901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  <w:r w:rsidRPr="005F6EB1">
        <w:rPr>
          <w:rFonts w:cstheme="minorHAnsi"/>
          <w:noProof/>
          <w:sz w:val="24"/>
          <w:szCs w:val="24"/>
          <w:lang w:eastAsia="es-PE"/>
        </w:rPr>
        <w:drawing>
          <wp:anchor distT="0" distB="0" distL="114300" distR="114300" simplePos="0" relativeHeight="251660288" behindDoc="1" locked="0" layoutInCell="1" allowOverlap="1" wp14:anchorId="24B13F15" wp14:editId="19569656">
            <wp:simplePos x="0" y="0"/>
            <wp:positionH relativeFrom="margin">
              <wp:align>center</wp:align>
            </wp:positionH>
            <wp:positionV relativeFrom="paragraph">
              <wp:posOffset>855345</wp:posOffset>
            </wp:positionV>
            <wp:extent cx="5229225" cy="4348480"/>
            <wp:effectExtent l="0" t="0" r="9525" b="0"/>
            <wp:wrapTight wrapText="bothSides">
              <wp:wrapPolygon edited="0">
                <wp:start x="0" y="0"/>
                <wp:lineTo x="0" y="21480"/>
                <wp:lineTo x="21561" y="21480"/>
                <wp:lineTo x="21561" y="0"/>
                <wp:lineTo x="0" y="0"/>
              </wp:wrapPolygon>
            </wp:wrapTight>
            <wp:docPr id="4" name="Imagen 4" descr="W:\2024\AOCRI - PRENSA\TEMAS\INDICADORES TELECOM\2024-II\Internet fijo\Fibra óptica\GRÁFICO-MAPA-EMPRESAS-OPERADOR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2024\AOCRI - PRENSA\TEMAS\INDICADORES TELECOM\2024-II\Internet fijo\Fibra óptica\GRÁFICO-MAPA-EMPRESAS-OPERADORA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434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24"/>
          <w:szCs w:val="24"/>
          <w:shd w:val="clear" w:color="auto" w:fill="FFFFFF"/>
        </w:rPr>
        <w:t xml:space="preserve">En el análisis por empresa operadora, </w:t>
      </w:r>
      <w:proofErr w:type="spellStart"/>
      <w:r>
        <w:rPr>
          <w:rFonts w:cstheme="minorHAnsi"/>
          <w:sz w:val="24"/>
          <w:szCs w:val="24"/>
          <w:lang w:val="es-MX"/>
        </w:rPr>
        <w:t>Wow</w:t>
      </w:r>
      <w:proofErr w:type="spellEnd"/>
      <w:r>
        <w:rPr>
          <w:rFonts w:cstheme="minorHAnsi"/>
          <w:sz w:val="24"/>
          <w:szCs w:val="24"/>
          <w:lang w:val="es-MX"/>
        </w:rPr>
        <w:t xml:space="preserve"> (que entró a competir en 2020) tiene la mayor participación de mercado de fibra óptica en catorce regiones del país</w:t>
      </w:r>
      <w:r w:rsidRPr="007F1BBA">
        <w:rPr>
          <w:rFonts w:cstheme="minorHAnsi"/>
          <w:sz w:val="24"/>
          <w:szCs w:val="24"/>
          <w:lang w:val="es-MX"/>
        </w:rPr>
        <w:t xml:space="preserve">, </w:t>
      </w:r>
      <w:r>
        <w:rPr>
          <w:rFonts w:cstheme="minorHAnsi"/>
          <w:sz w:val="24"/>
          <w:szCs w:val="24"/>
          <w:lang w:val="es-MX"/>
        </w:rPr>
        <w:t xml:space="preserve">superando al otrora líder, Telefónica, que conserva el primer lugar en cinco regiones. Entre tanto, Claro y </w:t>
      </w:r>
      <w:proofErr w:type="spellStart"/>
      <w:r>
        <w:rPr>
          <w:rFonts w:cstheme="minorHAnsi"/>
          <w:sz w:val="24"/>
          <w:szCs w:val="24"/>
          <w:lang w:val="es-MX"/>
        </w:rPr>
        <w:t>MiFibra</w:t>
      </w:r>
      <w:proofErr w:type="spellEnd"/>
      <w:r>
        <w:rPr>
          <w:rFonts w:cstheme="minorHAnsi"/>
          <w:sz w:val="24"/>
          <w:szCs w:val="24"/>
          <w:lang w:val="es-MX"/>
        </w:rPr>
        <w:t xml:space="preserve"> lideran en tres y una región, respectivamente.</w:t>
      </w:r>
    </w:p>
    <w:p w14:paraId="70EB5AB4" w14:textId="2A861691" w:rsidR="008B4901" w:rsidRPr="007F1BBA" w:rsidRDefault="008B4901" w:rsidP="008B4901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lastRenderedPageBreak/>
        <w:t>Así, al</w:t>
      </w:r>
      <w:r w:rsidRPr="008A52FD">
        <w:rPr>
          <w:rFonts w:cstheme="minorHAnsi"/>
          <w:sz w:val="24"/>
          <w:szCs w:val="24"/>
          <w:lang w:val="es-MX"/>
        </w:rPr>
        <w:t xml:space="preserve"> cierre del primer </w:t>
      </w:r>
      <w:r>
        <w:rPr>
          <w:rFonts w:cstheme="minorHAnsi"/>
          <w:sz w:val="24"/>
          <w:szCs w:val="24"/>
          <w:lang w:val="es-MX"/>
        </w:rPr>
        <w:t>se</w:t>
      </w:r>
      <w:r w:rsidRPr="008A52FD">
        <w:rPr>
          <w:rFonts w:cstheme="minorHAnsi"/>
          <w:sz w:val="24"/>
          <w:szCs w:val="24"/>
          <w:lang w:val="es-MX"/>
        </w:rPr>
        <w:t xml:space="preserve">mestre de 2024, </w:t>
      </w:r>
      <w:proofErr w:type="spellStart"/>
      <w:r w:rsidRPr="008A52FD">
        <w:rPr>
          <w:rFonts w:cstheme="minorHAnsi"/>
          <w:sz w:val="24"/>
          <w:szCs w:val="24"/>
          <w:lang w:val="es-MX"/>
        </w:rPr>
        <w:t>Wow</w:t>
      </w:r>
      <w:proofErr w:type="spellEnd"/>
      <w:r w:rsidRPr="008A52FD">
        <w:rPr>
          <w:rFonts w:cstheme="minorHAnsi"/>
          <w:sz w:val="24"/>
          <w:szCs w:val="24"/>
          <w:lang w:val="es-MX"/>
        </w:rPr>
        <w:t xml:space="preserve"> </w:t>
      </w:r>
      <w:r>
        <w:rPr>
          <w:rFonts w:cstheme="minorHAnsi"/>
          <w:sz w:val="24"/>
          <w:szCs w:val="24"/>
          <w:lang w:val="es-MX"/>
        </w:rPr>
        <w:t>lidera</w:t>
      </w:r>
      <w:r w:rsidRPr="008A52FD">
        <w:rPr>
          <w:rFonts w:cstheme="minorHAnsi"/>
          <w:sz w:val="24"/>
          <w:szCs w:val="24"/>
          <w:lang w:val="es-MX"/>
        </w:rPr>
        <w:t xml:space="preserve"> </w:t>
      </w:r>
      <w:r>
        <w:rPr>
          <w:rFonts w:cstheme="minorHAnsi"/>
          <w:sz w:val="24"/>
          <w:szCs w:val="24"/>
          <w:lang w:val="es-MX"/>
        </w:rPr>
        <w:t xml:space="preserve">en </w:t>
      </w:r>
      <w:r w:rsidRPr="008A52FD">
        <w:rPr>
          <w:rFonts w:cstheme="minorHAnsi"/>
          <w:sz w:val="24"/>
          <w:szCs w:val="24"/>
          <w:lang w:val="es-MX"/>
        </w:rPr>
        <w:t>Loreto (79</w:t>
      </w:r>
      <w:r>
        <w:rPr>
          <w:rFonts w:cstheme="minorHAnsi"/>
          <w:sz w:val="24"/>
          <w:szCs w:val="24"/>
          <w:lang w:val="es-MX"/>
        </w:rPr>
        <w:t>.24</w:t>
      </w:r>
      <w:r w:rsidRPr="008A52FD">
        <w:rPr>
          <w:rFonts w:cstheme="minorHAnsi"/>
          <w:sz w:val="24"/>
          <w:szCs w:val="24"/>
          <w:lang w:val="es-MX"/>
        </w:rPr>
        <w:t xml:space="preserve"> %), Tumbes (74</w:t>
      </w:r>
      <w:r>
        <w:rPr>
          <w:rFonts w:cstheme="minorHAnsi"/>
          <w:sz w:val="24"/>
          <w:szCs w:val="24"/>
          <w:lang w:val="es-MX"/>
        </w:rPr>
        <w:t>.35</w:t>
      </w:r>
      <w:r w:rsidRPr="008A52FD">
        <w:rPr>
          <w:rFonts w:cstheme="minorHAnsi"/>
          <w:sz w:val="24"/>
          <w:szCs w:val="24"/>
          <w:lang w:val="es-MX"/>
        </w:rPr>
        <w:t xml:space="preserve"> %) Huancavelica (71</w:t>
      </w:r>
      <w:r>
        <w:rPr>
          <w:rFonts w:cstheme="minorHAnsi"/>
          <w:sz w:val="24"/>
          <w:szCs w:val="24"/>
          <w:lang w:val="es-MX"/>
        </w:rPr>
        <w:t xml:space="preserve">.31 %), Ica (70.05 </w:t>
      </w:r>
      <w:r w:rsidRPr="008A52FD">
        <w:rPr>
          <w:rFonts w:cstheme="minorHAnsi"/>
          <w:sz w:val="24"/>
          <w:szCs w:val="24"/>
          <w:lang w:val="es-MX"/>
        </w:rPr>
        <w:t>%), Apurímac (69</w:t>
      </w:r>
      <w:r>
        <w:rPr>
          <w:rFonts w:cstheme="minorHAnsi"/>
          <w:sz w:val="24"/>
          <w:szCs w:val="24"/>
          <w:lang w:val="es-MX"/>
        </w:rPr>
        <w:t xml:space="preserve">.11 </w:t>
      </w:r>
      <w:r w:rsidRPr="008A52FD">
        <w:rPr>
          <w:rFonts w:cstheme="minorHAnsi"/>
          <w:sz w:val="24"/>
          <w:szCs w:val="24"/>
          <w:lang w:val="es-MX"/>
        </w:rPr>
        <w:t>%), Ucayali (66</w:t>
      </w:r>
      <w:r>
        <w:rPr>
          <w:rFonts w:cstheme="minorHAnsi"/>
          <w:sz w:val="24"/>
          <w:szCs w:val="24"/>
          <w:lang w:val="es-MX"/>
        </w:rPr>
        <w:t>.22</w:t>
      </w:r>
      <w:r w:rsidRPr="008A52FD">
        <w:rPr>
          <w:rFonts w:cstheme="minorHAnsi"/>
          <w:sz w:val="24"/>
          <w:szCs w:val="24"/>
          <w:lang w:val="es-MX"/>
        </w:rPr>
        <w:t xml:space="preserve"> %), </w:t>
      </w:r>
      <w:r>
        <w:rPr>
          <w:rFonts w:cstheme="minorHAnsi"/>
          <w:sz w:val="24"/>
          <w:szCs w:val="24"/>
          <w:lang w:val="es-MX"/>
        </w:rPr>
        <w:t>Tacna (63.67</w:t>
      </w:r>
      <w:r w:rsidRPr="008A52FD">
        <w:rPr>
          <w:rFonts w:cstheme="minorHAnsi"/>
          <w:sz w:val="24"/>
          <w:szCs w:val="24"/>
          <w:lang w:val="es-MX"/>
        </w:rPr>
        <w:t xml:space="preserve"> %), Huánuco (57</w:t>
      </w:r>
      <w:r>
        <w:rPr>
          <w:rFonts w:cstheme="minorHAnsi"/>
          <w:sz w:val="24"/>
          <w:szCs w:val="24"/>
          <w:lang w:val="es-MX"/>
        </w:rPr>
        <w:t>.38</w:t>
      </w:r>
      <w:r w:rsidRPr="008A52FD">
        <w:rPr>
          <w:rFonts w:cstheme="minorHAnsi"/>
          <w:sz w:val="24"/>
          <w:szCs w:val="24"/>
          <w:lang w:val="es-MX"/>
        </w:rPr>
        <w:t xml:space="preserve"> %), Ayacucho (56</w:t>
      </w:r>
      <w:r>
        <w:rPr>
          <w:rFonts w:cstheme="minorHAnsi"/>
          <w:sz w:val="24"/>
          <w:szCs w:val="24"/>
          <w:lang w:val="es-MX"/>
        </w:rPr>
        <w:t>.49</w:t>
      </w:r>
      <w:r w:rsidRPr="008A52FD">
        <w:rPr>
          <w:rFonts w:cstheme="minorHAnsi"/>
          <w:sz w:val="24"/>
          <w:szCs w:val="24"/>
          <w:lang w:val="es-MX"/>
        </w:rPr>
        <w:t xml:space="preserve"> %), Moquegua (49</w:t>
      </w:r>
      <w:r>
        <w:rPr>
          <w:rFonts w:cstheme="minorHAnsi"/>
          <w:sz w:val="24"/>
          <w:szCs w:val="24"/>
          <w:lang w:val="es-MX"/>
        </w:rPr>
        <w:t>.24</w:t>
      </w:r>
      <w:r w:rsidRPr="008A52FD">
        <w:rPr>
          <w:rFonts w:cstheme="minorHAnsi"/>
          <w:sz w:val="24"/>
          <w:szCs w:val="24"/>
          <w:lang w:val="es-MX"/>
        </w:rPr>
        <w:t xml:space="preserve"> %)</w:t>
      </w:r>
      <w:r w:rsidRPr="008A52FD">
        <w:rPr>
          <w:sz w:val="24"/>
          <w:szCs w:val="24"/>
          <w:lang w:val="es-MX"/>
        </w:rPr>
        <w:t>, Lambayeque (46</w:t>
      </w:r>
      <w:r>
        <w:rPr>
          <w:sz w:val="24"/>
          <w:szCs w:val="24"/>
          <w:lang w:val="es-MX"/>
        </w:rPr>
        <w:t>.38</w:t>
      </w:r>
      <w:r w:rsidRPr="008A52FD">
        <w:rPr>
          <w:sz w:val="24"/>
          <w:szCs w:val="24"/>
          <w:lang w:val="es-MX"/>
        </w:rPr>
        <w:t xml:space="preserve"> %), </w:t>
      </w:r>
      <w:r w:rsidRPr="008A52FD">
        <w:rPr>
          <w:rFonts w:cstheme="minorHAnsi"/>
          <w:sz w:val="24"/>
          <w:szCs w:val="24"/>
          <w:lang w:val="es-MX"/>
        </w:rPr>
        <w:t xml:space="preserve">San Martín </w:t>
      </w:r>
      <w:r>
        <w:rPr>
          <w:rFonts w:cstheme="minorHAnsi"/>
          <w:sz w:val="24"/>
          <w:szCs w:val="24"/>
          <w:lang w:val="es-MX"/>
        </w:rPr>
        <w:t>(44.92</w:t>
      </w:r>
      <w:r w:rsidRPr="008A52FD">
        <w:rPr>
          <w:rFonts w:cstheme="minorHAnsi"/>
          <w:sz w:val="24"/>
          <w:szCs w:val="24"/>
          <w:lang w:val="es-MX"/>
        </w:rPr>
        <w:t xml:space="preserve"> %), Junín (4</w:t>
      </w:r>
      <w:r>
        <w:rPr>
          <w:rFonts w:cstheme="minorHAnsi"/>
          <w:sz w:val="24"/>
          <w:szCs w:val="24"/>
          <w:lang w:val="es-MX"/>
        </w:rPr>
        <w:t>1.95</w:t>
      </w:r>
      <w:r w:rsidRPr="008A52FD">
        <w:rPr>
          <w:rFonts w:cstheme="minorHAnsi"/>
          <w:sz w:val="24"/>
          <w:szCs w:val="24"/>
          <w:lang w:val="es-MX"/>
        </w:rPr>
        <w:t xml:space="preserve"> %) y Áncash (</w:t>
      </w:r>
      <w:r>
        <w:rPr>
          <w:rFonts w:cstheme="minorHAnsi"/>
          <w:sz w:val="24"/>
          <w:szCs w:val="24"/>
          <w:lang w:val="es-MX"/>
        </w:rPr>
        <w:t xml:space="preserve">27.73 </w:t>
      </w:r>
      <w:r w:rsidRPr="008A52FD">
        <w:rPr>
          <w:rFonts w:cstheme="minorHAnsi"/>
          <w:sz w:val="24"/>
          <w:szCs w:val="24"/>
          <w:lang w:val="es-MX"/>
        </w:rPr>
        <w:t>%).</w:t>
      </w:r>
    </w:p>
    <w:p w14:paraId="10039B43" w14:textId="77777777" w:rsidR="008B4901" w:rsidRPr="007F1BBA" w:rsidRDefault="008B4901" w:rsidP="008B4901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</w:p>
    <w:p w14:paraId="75681428" w14:textId="77777777" w:rsidR="008B4901" w:rsidRDefault="008B4901" w:rsidP="008B4901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>En tanto, Telefónica</w:t>
      </w:r>
      <w:r w:rsidRPr="007F1BBA">
        <w:rPr>
          <w:rFonts w:cstheme="minorHAnsi"/>
          <w:sz w:val="24"/>
          <w:szCs w:val="24"/>
          <w:lang w:val="es-MX"/>
        </w:rPr>
        <w:t xml:space="preserve"> tiene mayor presencia de mercado en las regiones Madre de Dios (</w:t>
      </w:r>
      <w:r>
        <w:rPr>
          <w:rFonts w:cstheme="minorHAnsi"/>
          <w:sz w:val="24"/>
          <w:szCs w:val="24"/>
          <w:lang w:val="es-MX"/>
        </w:rPr>
        <w:t>61.41</w:t>
      </w:r>
      <w:r w:rsidRPr="007F1BBA">
        <w:rPr>
          <w:rFonts w:cstheme="minorHAnsi"/>
          <w:sz w:val="24"/>
          <w:szCs w:val="24"/>
          <w:lang w:val="es-MX"/>
        </w:rPr>
        <w:t xml:space="preserve"> %), Puno (</w:t>
      </w:r>
      <w:r>
        <w:rPr>
          <w:rFonts w:cstheme="minorHAnsi"/>
          <w:sz w:val="24"/>
          <w:szCs w:val="24"/>
          <w:lang w:val="es-MX"/>
        </w:rPr>
        <w:t>44.40</w:t>
      </w:r>
      <w:r w:rsidRPr="007F1BBA">
        <w:rPr>
          <w:rFonts w:cstheme="minorHAnsi"/>
          <w:sz w:val="24"/>
          <w:szCs w:val="24"/>
          <w:lang w:val="es-MX"/>
        </w:rPr>
        <w:t xml:space="preserve"> %), </w:t>
      </w:r>
      <w:r>
        <w:rPr>
          <w:rFonts w:cstheme="minorHAnsi"/>
          <w:sz w:val="24"/>
          <w:szCs w:val="24"/>
          <w:lang w:val="es-MX"/>
        </w:rPr>
        <w:t>Cajamarca (43.21 %)</w:t>
      </w:r>
      <w:r w:rsidRPr="007F1BBA">
        <w:rPr>
          <w:rFonts w:cstheme="minorHAnsi"/>
          <w:sz w:val="24"/>
          <w:szCs w:val="24"/>
          <w:lang w:val="es-MX"/>
        </w:rPr>
        <w:t xml:space="preserve">, </w:t>
      </w:r>
      <w:r>
        <w:rPr>
          <w:rFonts w:cstheme="minorHAnsi"/>
          <w:sz w:val="24"/>
          <w:szCs w:val="24"/>
          <w:lang w:val="es-MX"/>
        </w:rPr>
        <w:t>Pasco (36.43 %), y Piura (25.99 %)</w:t>
      </w:r>
      <w:r w:rsidRPr="007F1BBA">
        <w:rPr>
          <w:rFonts w:cstheme="minorHAnsi"/>
          <w:sz w:val="24"/>
          <w:szCs w:val="24"/>
          <w:lang w:val="es-MX"/>
        </w:rPr>
        <w:t xml:space="preserve">. Por su parte, Claro </w:t>
      </w:r>
      <w:r>
        <w:rPr>
          <w:rFonts w:cstheme="minorHAnsi"/>
          <w:sz w:val="24"/>
          <w:szCs w:val="24"/>
          <w:lang w:val="es-MX"/>
        </w:rPr>
        <w:t>lidera</w:t>
      </w:r>
      <w:r w:rsidRPr="007F1BBA">
        <w:rPr>
          <w:rFonts w:cstheme="minorHAnsi"/>
          <w:sz w:val="24"/>
          <w:szCs w:val="24"/>
          <w:lang w:val="es-MX"/>
        </w:rPr>
        <w:t xml:space="preserve"> en </w:t>
      </w:r>
      <w:r>
        <w:rPr>
          <w:rFonts w:cstheme="minorHAnsi"/>
          <w:sz w:val="24"/>
          <w:szCs w:val="24"/>
          <w:lang w:val="es-MX"/>
        </w:rPr>
        <w:t>Cusco</w:t>
      </w:r>
      <w:r w:rsidRPr="007F1BBA">
        <w:rPr>
          <w:rFonts w:cstheme="minorHAnsi"/>
          <w:sz w:val="24"/>
          <w:szCs w:val="24"/>
          <w:lang w:val="es-MX"/>
        </w:rPr>
        <w:t xml:space="preserve"> (</w:t>
      </w:r>
      <w:r>
        <w:rPr>
          <w:rFonts w:cstheme="minorHAnsi"/>
          <w:sz w:val="24"/>
          <w:szCs w:val="24"/>
          <w:lang w:val="es-MX"/>
        </w:rPr>
        <w:t xml:space="preserve">38.92 </w:t>
      </w:r>
      <w:r w:rsidRPr="007F1BBA">
        <w:rPr>
          <w:rFonts w:cstheme="minorHAnsi"/>
          <w:sz w:val="24"/>
          <w:szCs w:val="24"/>
          <w:lang w:val="es-MX"/>
        </w:rPr>
        <w:t xml:space="preserve">%), </w:t>
      </w:r>
      <w:r>
        <w:rPr>
          <w:rFonts w:cstheme="minorHAnsi"/>
          <w:sz w:val="24"/>
          <w:szCs w:val="24"/>
          <w:lang w:val="es-MX"/>
        </w:rPr>
        <w:t>Arequipa</w:t>
      </w:r>
      <w:r w:rsidRPr="007F1BBA">
        <w:rPr>
          <w:rFonts w:cstheme="minorHAnsi"/>
          <w:sz w:val="24"/>
          <w:szCs w:val="24"/>
          <w:lang w:val="es-MX"/>
        </w:rPr>
        <w:t xml:space="preserve"> (</w:t>
      </w:r>
      <w:r>
        <w:rPr>
          <w:rFonts w:cstheme="minorHAnsi"/>
          <w:sz w:val="24"/>
          <w:szCs w:val="24"/>
          <w:lang w:val="es-MX"/>
        </w:rPr>
        <w:t>37.62</w:t>
      </w:r>
      <w:r w:rsidRPr="007F1BBA">
        <w:rPr>
          <w:rFonts w:cstheme="minorHAnsi"/>
          <w:sz w:val="24"/>
          <w:szCs w:val="24"/>
          <w:lang w:val="es-MX"/>
        </w:rPr>
        <w:t xml:space="preserve"> %) y Amazonas (3</w:t>
      </w:r>
      <w:r>
        <w:rPr>
          <w:rFonts w:cstheme="minorHAnsi"/>
          <w:sz w:val="24"/>
          <w:szCs w:val="24"/>
          <w:lang w:val="es-MX"/>
        </w:rPr>
        <w:t>7.76</w:t>
      </w:r>
      <w:r w:rsidRPr="007F1BBA">
        <w:rPr>
          <w:rFonts w:cstheme="minorHAnsi"/>
          <w:sz w:val="24"/>
          <w:szCs w:val="24"/>
          <w:lang w:val="es-MX"/>
        </w:rPr>
        <w:t xml:space="preserve"> %), mientras que </w:t>
      </w:r>
      <w:proofErr w:type="spellStart"/>
      <w:r>
        <w:rPr>
          <w:rFonts w:cstheme="minorHAnsi"/>
          <w:sz w:val="24"/>
          <w:szCs w:val="24"/>
          <w:lang w:val="es-MX"/>
        </w:rPr>
        <w:t>MiFibra</w:t>
      </w:r>
      <w:proofErr w:type="spellEnd"/>
      <w:r w:rsidRPr="007F1BBA">
        <w:rPr>
          <w:rFonts w:cstheme="minorHAnsi"/>
          <w:sz w:val="24"/>
          <w:szCs w:val="24"/>
          <w:lang w:val="es-MX"/>
        </w:rPr>
        <w:t xml:space="preserve"> </w:t>
      </w:r>
      <w:r>
        <w:rPr>
          <w:rFonts w:cstheme="minorHAnsi"/>
          <w:sz w:val="24"/>
          <w:szCs w:val="24"/>
          <w:lang w:val="es-MX"/>
        </w:rPr>
        <w:t>lo hace</w:t>
      </w:r>
      <w:r w:rsidRPr="007F1BBA">
        <w:rPr>
          <w:rFonts w:cstheme="minorHAnsi"/>
          <w:sz w:val="24"/>
          <w:szCs w:val="24"/>
          <w:lang w:val="es-MX"/>
        </w:rPr>
        <w:t xml:space="preserve"> en La Libertad (</w:t>
      </w:r>
      <w:r>
        <w:rPr>
          <w:rFonts w:cstheme="minorHAnsi"/>
          <w:sz w:val="24"/>
          <w:szCs w:val="24"/>
          <w:lang w:val="es-MX"/>
        </w:rPr>
        <w:t>29.18</w:t>
      </w:r>
      <w:r w:rsidRPr="007F1BBA">
        <w:rPr>
          <w:rFonts w:cstheme="minorHAnsi"/>
          <w:sz w:val="24"/>
          <w:szCs w:val="24"/>
          <w:lang w:val="es-MX"/>
        </w:rPr>
        <w:t xml:space="preserve"> %).</w:t>
      </w:r>
    </w:p>
    <w:p w14:paraId="34DA32ED" w14:textId="77777777" w:rsidR="008B4901" w:rsidRDefault="008B4901" w:rsidP="008B4901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31E07342" w14:textId="77777777" w:rsidR="008B4901" w:rsidRPr="00B637AF" w:rsidRDefault="008B4901" w:rsidP="008B4901">
      <w:pPr>
        <w:spacing w:after="0" w:line="240" w:lineRule="auto"/>
        <w:jc w:val="both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>Arequipa evidenció el mayor crecimiento de conexiones de fibra óptica</w:t>
      </w:r>
    </w:p>
    <w:p w14:paraId="0AB2778F" w14:textId="77777777" w:rsidR="008B4901" w:rsidRDefault="008B4901" w:rsidP="008B4901">
      <w:pPr>
        <w:spacing w:after="0" w:line="240" w:lineRule="auto"/>
        <w:jc w:val="both"/>
        <w:rPr>
          <w:rFonts w:cstheme="minorHAnsi"/>
          <w:sz w:val="24"/>
          <w:szCs w:val="24"/>
          <w:lang w:val="es-ES_tradnl"/>
        </w:rPr>
      </w:pPr>
      <w:r>
        <w:rPr>
          <w:rFonts w:cstheme="minorHAnsi"/>
          <w:sz w:val="24"/>
          <w:szCs w:val="24"/>
          <w:lang w:val="es-ES_tradnl"/>
        </w:rPr>
        <w:t>Según la información reportada por las empresas operadoras al OSIPTEL, sin considerar Lima y Callao, las regiones que evidenciaron un mayor crecimiento en el número de conexiones de fibra óptica entre el primer semestre de 2023 y el mismo periodo del presente año, fueron Arequipa (195.50 %), Junín (166.66 %), La Libertad (147.62%), Huánuco (110.88 %) y Cusco (92.09 %).</w:t>
      </w:r>
    </w:p>
    <w:p w14:paraId="7BA14E7C" w14:textId="77777777" w:rsidR="008B4901" w:rsidRDefault="008B4901" w:rsidP="008B4901">
      <w:pPr>
        <w:spacing w:after="0" w:line="240" w:lineRule="auto"/>
        <w:jc w:val="both"/>
        <w:rPr>
          <w:rFonts w:cstheme="minorHAnsi"/>
          <w:sz w:val="24"/>
          <w:szCs w:val="24"/>
          <w:lang w:val="es-ES_tradnl"/>
        </w:rPr>
      </w:pPr>
    </w:p>
    <w:p w14:paraId="764CEB52" w14:textId="77777777" w:rsidR="008B4901" w:rsidRDefault="008B4901" w:rsidP="008B4901">
      <w:pPr>
        <w:spacing w:after="0" w:line="240" w:lineRule="auto"/>
        <w:jc w:val="both"/>
        <w:rPr>
          <w:rFonts w:cstheme="minorHAnsi"/>
          <w:sz w:val="24"/>
          <w:szCs w:val="24"/>
          <w:lang w:val="es-ES_tradnl"/>
        </w:rPr>
      </w:pPr>
      <w:r w:rsidRPr="00443473">
        <w:rPr>
          <w:rFonts w:cstheme="minorHAnsi"/>
          <w:noProof/>
          <w:sz w:val="24"/>
          <w:szCs w:val="24"/>
          <w:lang w:eastAsia="es-PE"/>
        </w:rPr>
        <w:drawing>
          <wp:anchor distT="0" distB="0" distL="114300" distR="114300" simplePos="0" relativeHeight="251659264" behindDoc="1" locked="0" layoutInCell="1" allowOverlap="1" wp14:anchorId="75BBE938" wp14:editId="28D82952">
            <wp:simplePos x="0" y="0"/>
            <wp:positionH relativeFrom="margin">
              <wp:align>center</wp:align>
            </wp:positionH>
            <wp:positionV relativeFrom="paragraph">
              <wp:posOffset>652145</wp:posOffset>
            </wp:positionV>
            <wp:extent cx="6200775" cy="3748405"/>
            <wp:effectExtent l="0" t="0" r="9525" b="4445"/>
            <wp:wrapTight wrapText="bothSides">
              <wp:wrapPolygon edited="0">
                <wp:start x="0" y="0"/>
                <wp:lineTo x="0" y="21516"/>
                <wp:lineTo x="21567" y="21516"/>
                <wp:lineTo x="21567" y="0"/>
                <wp:lineTo x="0" y="0"/>
              </wp:wrapPolygon>
            </wp:wrapTight>
            <wp:docPr id="1" name="Imagen 1" descr="W:\2024\AOCRI - PRENSA\TEMAS\INDICADORES TELECOM\2024-II\Internet fijo\Fibra óptica\GRÁFICO-FIBRA-ÓPTICA-REGION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2024\AOCRI - PRENSA\TEMAS\INDICADORES TELECOM\2024-II\Internet fijo\Fibra óptica\GRÁFICO-FIBRA-ÓPTICA-REGIONE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374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24"/>
          <w:szCs w:val="24"/>
          <w:lang w:val="es-ES_tradnl"/>
        </w:rPr>
        <w:t>Así, Arequipa pasó de 28 208 conexiones en junio de 2023 a 83 356 conexiones al cierre del primer semestre de 2024, mientras que, en el caso de Junín, pasó de 22 681 a 60 482 conexiones de fibra óptica en apenas un año.</w:t>
      </w:r>
    </w:p>
    <w:p w14:paraId="7FECA7CA" w14:textId="77777777" w:rsidR="008B4901" w:rsidRDefault="008B4901" w:rsidP="008B4901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>Como se sabe, la fibra ó</w:t>
      </w:r>
      <w:r w:rsidRPr="00F521EF">
        <w:rPr>
          <w:rFonts w:cstheme="minorHAnsi"/>
          <w:sz w:val="24"/>
          <w:szCs w:val="24"/>
          <w:lang w:val="es-MX"/>
        </w:rPr>
        <w:t xml:space="preserve">ptica </w:t>
      </w:r>
      <w:r>
        <w:rPr>
          <w:rFonts w:cstheme="minorHAnsi"/>
          <w:sz w:val="24"/>
          <w:szCs w:val="24"/>
          <w:lang w:val="es-MX"/>
        </w:rPr>
        <w:t>es</w:t>
      </w:r>
      <w:r w:rsidRPr="00F521EF">
        <w:rPr>
          <w:rFonts w:cstheme="minorHAnsi"/>
          <w:sz w:val="24"/>
          <w:szCs w:val="24"/>
          <w:lang w:val="es-MX"/>
        </w:rPr>
        <w:t xml:space="preserve"> </w:t>
      </w:r>
      <w:r>
        <w:rPr>
          <w:rFonts w:cstheme="minorHAnsi"/>
          <w:sz w:val="24"/>
          <w:szCs w:val="24"/>
          <w:lang w:val="es-MX"/>
        </w:rPr>
        <w:t>la tecnología</w:t>
      </w:r>
      <w:r w:rsidRPr="00F521EF">
        <w:rPr>
          <w:rFonts w:cstheme="minorHAnsi"/>
          <w:sz w:val="24"/>
          <w:szCs w:val="24"/>
          <w:lang w:val="es-MX"/>
        </w:rPr>
        <w:t xml:space="preserve"> más utilizada par</w:t>
      </w:r>
      <w:r>
        <w:rPr>
          <w:rFonts w:cstheme="minorHAnsi"/>
          <w:sz w:val="24"/>
          <w:szCs w:val="24"/>
          <w:lang w:val="es-MX"/>
        </w:rPr>
        <w:t>a la provisión del servicio de internet f</w:t>
      </w:r>
      <w:r w:rsidRPr="00F521EF">
        <w:rPr>
          <w:rFonts w:cstheme="minorHAnsi"/>
          <w:sz w:val="24"/>
          <w:szCs w:val="24"/>
          <w:lang w:val="es-MX"/>
        </w:rPr>
        <w:t>ijo</w:t>
      </w:r>
      <w:r>
        <w:rPr>
          <w:rFonts w:cstheme="minorHAnsi"/>
          <w:sz w:val="24"/>
          <w:szCs w:val="24"/>
          <w:lang w:val="es-MX"/>
        </w:rPr>
        <w:t xml:space="preserve"> a nivel nacional</w:t>
      </w:r>
      <w:r w:rsidRPr="00F521EF">
        <w:rPr>
          <w:rFonts w:cstheme="minorHAnsi"/>
          <w:sz w:val="24"/>
          <w:szCs w:val="24"/>
          <w:lang w:val="es-MX"/>
        </w:rPr>
        <w:t xml:space="preserve">, representando el </w:t>
      </w:r>
      <w:r>
        <w:rPr>
          <w:rFonts w:cstheme="minorHAnsi"/>
          <w:sz w:val="24"/>
          <w:szCs w:val="24"/>
          <w:lang w:val="es-MX"/>
        </w:rPr>
        <w:t xml:space="preserve">65.45 </w:t>
      </w:r>
      <w:r w:rsidRPr="00F521EF">
        <w:rPr>
          <w:rFonts w:cstheme="minorHAnsi"/>
          <w:sz w:val="24"/>
          <w:szCs w:val="24"/>
          <w:lang w:val="es-MX"/>
        </w:rPr>
        <w:t>%</w:t>
      </w:r>
      <w:r>
        <w:rPr>
          <w:rFonts w:cstheme="minorHAnsi"/>
          <w:sz w:val="24"/>
          <w:szCs w:val="24"/>
          <w:lang w:val="es-MX"/>
        </w:rPr>
        <w:t xml:space="preserve"> del total del mercado, </w:t>
      </w:r>
      <w:r w:rsidRPr="00F521EF">
        <w:rPr>
          <w:rFonts w:cstheme="minorHAnsi"/>
          <w:sz w:val="24"/>
          <w:szCs w:val="24"/>
          <w:lang w:val="es-MX"/>
        </w:rPr>
        <w:t xml:space="preserve">por </w:t>
      </w:r>
      <w:r>
        <w:rPr>
          <w:rFonts w:cstheme="minorHAnsi"/>
          <w:sz w:val="24"/>
          <w:szCs w:val="24"/>
          <w:lang w:val="es-MX"/>
        </w:rPr>
        <w:t>encima del cable modem (</w:t>
      </w:r>
      <w:r w:rsidRPr="00F521EF">
        <w:rPr>
          <w:rFonts w:cstheme="minorHAnsi"/>
          <w:sz w:val="24"/>
          <w:szCs w:val="24"/>
          <w:lang w:val="es-MX"/>
        </w:rPr>
        <w:t>3</w:t>
      </w:r>
      <w:r>
        <w:rPr>
          <w:rFonts w:cstheme="minorHAnsi"/>
          <w:sz w:val="24"/>
          <w:szCs w:val="24"/>
          <w:lang w:val="es-MX"/>
        </w:rPr>
        <w:t xml:space="preserve">0.11 </w:t>
      </w:r>
      <w:r w:rsidRPr="00F521EF">
        <w:rPr>
          <w:rFonts w:cstheme="minorHAnsi"/>
          <w:sz w:val="24"/>
          <w:szCs w:val="24"/>
          <w:lang w:val="es-MX"/>
        </w:rPr>
        <w:t>%</w:t>
      </w:r>
      <w:r>
        <w:rPr>
          <w:rFonts w:cstheme="minorHAnsi"/>
          <w:sz w:val="24"/>
          <w:szCs w:val="24"/>
          <w:lang w:val="es-MX"/>
        </w:rPr>
        <w:t>), y otras tecnologías (4.44 %).</w:t>
      </w:r>
    </w:p>
    <w:p w14:paraId="34EDEC17" w14:textId="77777777" w:rsidR="008B4901" w:rsidRDefault="008B4901" w:rsidP="008B4901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</w:p>
    <w:p w14:paraId="36D42A3F" w14:textId="6424D2B6" w:rsidR="008B4901" w:rsidRDefault="00667E5B" w:rsidP="008B4901">
      <w:pPr>
        <w:spacing w:after="0" w:line="240" w:lineRule="auto"/>
        <w:jc w:val="right"/>
        <w:rPr>
          <w:b/>
          <w:sz w:val="32"/>
          <w:szCs w:val="32"/>
          <w:u w:val="single"/>
          <w:lang w:val="es-MX"/>
        </w:rPr>
      </w:pPr>
      <w:r>
        <w:rPr>
          <w:rFonts w:cstheme="minorHAnsi"/>
          <w:b/>
          <w:sz w:val="24"/>
          <w:szCs w:val="24"/>
          <w:lang w:val="es-MX"/>
        </w:rPr>
        <w:t>Lima, 5</w:t>
      </w:r>
      <w:r w:rsidR="008B4901" w:rsidRPr="006844D3">
        <w:rPr>
          <w:rFonts w:cstheme="minorHAnsi"/>
          <w:b/>
          <w:sz w:val="24"/>
          <w:szCs w:val="24"/>
          <w:lang w:val="es-MX"/>
        </w:rPr>
        <w:t xml:space="preserve"> de</w:t>
      </w:r>
      <w:r w:rsidR="008B4901">
        <w:rPr>
          <w:rFonts w:cstheme="minorHAnsi"/>
          <w:b/>
          <w:sz w:val="24"/>
          <w:szCs w:val="24"/>
          <w:lang w:val="es-MX"/>
        </w:rPr>
        <w:t xml:space="preserve"> setiembre</w:t>
      </w:r>
      <w:r w:rsidR="008B4901" w:rsidRPr="006844D3">
        <w:rPr>
          <w:rFonts w:cstheme="minorHAnsi"/>
          <w:b/>
          <w:sz w:val="24"/>
          <w:szCs w:val="24"/>
          <w:lang w:val="es-MX"/>
        </w:rPr>
        <w:t xml:space="preserve"> de 2024</w:t>
      </w:r>
    </w:p>
    <w:sectPr w:rsidR="008B4901" w:rsidSect="005D1351">
      <w:headerReference w:type="default" r:id="rId12"/>
      <w:footerReference w:type="default" r:id="rId13"/>
      <w:pgSz w:w="11906" w:h="16838"/>
      <w:pgMar w:top="709" w:right="1701" w:bottom="567" w:left="1701" w:header="709" w:footer="1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1B772" w14:textId="77777777" w:rsidR="00E33E47" w:rsidRDefault="00E33E47">
      <w:pPr>
        <w:spacing w:after="0" w:line="240" w:lineRule="auto"/>
      </w:pPr>
      <w:r>
        <w:separator/>
      </w:r>
    </w:p>
  </w:endnote>
  <w:endnote w:type="continuationSeparator" w:id="0">
    <w:p w14:paraId="5EE9230F" w14:textId="77777777" w:rsidR="00E33E47" w:rsidRDefault="00E33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FFDEC" w14:textId="77777777" w:rsidR="00B42644" w:rsidRDefault="00B42644" w:rsidP="005D1351">
    <w:pPr>
      <w:spacing w:after="0" w:line="240" w:lineRule="auto"/>
      <w:ind w:right="521"/>
      <w:rPr>
        <w:rFonts w:ascii="Arial" w:eastAsia="Arial" w:hAnsi="Arial" w:cs="Arial"/>
        <w:b/>
        <w:noProof/>
        <w:color w:val="808080" w:themeColor="background1" w:themeShade="80"/>
        <w:lang w:eastAsia="es-PE"/>
      </w:rPr>
    </w:pPr>
  </w:p>
  <w:p w14:paraId="1EE23176" w14:textId="77777777" w:rsidR="00B42644" w:rsidRDefault="00B42644" w:rsidP="005D1351">
    <w:pPr>
      <w:spacing w:after="0" w:line="240" w:lineRule="auto"/>
      <w:ind w:right="521"/>
      <w:rPr>
        <w:rFonts w:ascii="Arial" w:eastAsia="Arial" w:hAnsi="Arial" w:cs="Arial"/>
        <w:b/>
        <w:noProof/>
        <w:color w:val="808080" w:themeColor="background1" w:themeShade="80"/>
        <w:lang w:eastAsia="es-PE"/>
      </w:rPr>
    </w:pPr>
  </w:p>
  <w:p w14:paraId="2998926E" w14:textId="03ACFFE9" w:rsidR="006D7011" w:rsidRDefault="005D1351" w:rsidP="005D1351">
    <w:pPr>
      <w:spacing w:after="0" w:line="240" w:lineRule="auto"/>
      <w:ind w:right="521"/>
    </w:pPr>
    <w:r>
      <w:rPr>
        <w:rFonts w:ascii="Arial" w:eastAsia="Arial" w:hAnsi="Arial" w:cs="Arial"/>
        <w:b/>
        <w:noProof/>
        <w:color w:val="808080" w:themeColor="background1" w:themeShade="80"/>
        <w:lang w:eastAsia="es-PE"/>
      </w:rPr>
      <w:drawing>
        <wp:anchor distT="0" distB="0" distL="114300" distR="114300" simplePos="0" relativeHeight="251664384" behindDoc="0" locked="0" layoutInCell="1" allowOverlap="1" wp14:anchorId="7C582008" wp14:editId="4CE137E3">
          <wp:simplePos x="0" y="0"/>
          <wp:positionH relativeFrom="page">
            <wp:posOffset>23001</wp:posOffset>
          </wp:positionH>
          <wp:positionV relativeFrom="paragraph">
            <wp:posOffset>-139700</wp:posOffset>
          </wp:positionV>
          <wp:extent cx="7620507" cy="755646"/>
          <wp:effectExtent l="0" t="0" r="0" b="0"/>
          <wp:wrapNone/>
          <wp:docPr id="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507" cy="755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36566F" w14:textId="77777777" w:rsidR="006D7011" w:rsidRDefault="006D7011">
    <w:pPr>
      <w:pStyle w:val="Piedepgina"/>
      <w:jc w:val="center"/>
    </w:pPr>
  </w:p>
  <w:p w14:paraId="089EBD50" w14:textId="77777777" w:rsidR="006D7011" w:rsidRDefault="006D701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5802A" w14:textId="77777777" w:rsidR="00E33E47" w:rsidRDefault="00E33E47">
      <w:pPr>
        <w:spacing w:after="0" w:line="240" w:lineRule="auto"/>
      </w:pPr>
      <w:r>
        <w:separator/>
      </w:r>
    </w:p>
  </w:footnote>
  <w:footnote w:type="continuationSeparator" w:id="0">
    <w:p w14:paraId="08EA30F2" w14:textId="77777777" w:rsidR="00E33E47" w:rsidRDefault="00E33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D6A73" w14:textId="77777777" w:rsidR="006D7011" w:rsidRDefault="00D614C0">
    <w:pPr>
      <w:pStyle w:val="Encabezado"/>
      <w:jc w:val="center"/>
    </w:pPr>
    <w:r>
      <w:rPr>
        <w:noProof/>
        <w:lang w:eastAsia="es-PE"/>
      </w:rPr>
      <w:drawing>
        <wp:anchor distT="0" distB="0" distL="114300" distR="114300" simplePos="0" relativeHeight="251663360" behindDoc="0" locked="0" layoutInCell="1" allowOverlap="1" wp14:anchorId="75DAD6EF" wp14:editId="6774867C">
          <wp:simplePos x="0" y="0"/>
          <wp:positionH relativeFrom="page">
            <wp:posOffset>190500</wp:posOffset>
          </wp:positionH>
          <wp:positionV relativeFrom="paragraph">
            <wp:posOffset>-393065</wp:posOffset>
          </wp:positionV>
          <wp:extent cx="7215430" cy="909508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15430" cy="909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E991D8" w14:textId="77777777" w:rsidR="006D7011" w:rsidRDefault="006D7011">
    <w:pPr>
      <w:pStyle w:val="Encabezado"/>
      <w:jc w:val="center"/>
    </w:pPr>
  </w:p>
  <w:p w14:paraId="6D8D0407" w14:textId="77777777" w:rsidR="006D7011" w:rsidRDefault="006D7011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3E14"/>
    <w:multiLevelType w:val="hybridMultilevel"/>
    <w:tmpl w:val="313AC8B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0006B"/>
    <w:multiLevelType w:val="hybridMultilevel"/>
    <w:tmpl w:val="579C686E"/>
    <w:lvl w:ilvl="0" w:tplc="280A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2" w15:restartNumberingAfterBreak="0">
    <w:nsid w:val="04F42A81"/>
    <w:multiLevelType w:val="hybridMultilevel"/>
    <w:tmpl w:val="C21AF24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834C25"/>
    <w:multiLevelType w:val="hybridMultilevel"/>
    <w:tmpl w:val="DC1A92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12E40"/>
    <w:multiLevelType w:val="hybridMultilevel"/>
    <w:tmpl w:val="2500CEB4"/>
    <w:lvl w:ilvl="0" w:tplc="28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12B31E13"/>
    <w:multiLevelType w:val="hybridMultilevel"/>
    <w:tmpl w:val="508C7D6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0C523A"/>
    <w:multiLevelType w:val="hybridMultilevel"/>
    <w:tmpl w:val="7B1434A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1339E1"/>
    <w:multiLevelType w:val="hybridMultilevel"/>
    <w:tmpl w:val="670EDF5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9D0DCE"/>
    <w:multiLevelType w:val="hybridMultilevel"/>
    <w:tmpl w:val="1E5C1C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D0D2B"/>
    <w:multiLevelType w:val="hybridMultilevel"/>
    <w:tmpl w:val="B2C6F8F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C15D23"/>
    <w:multiLevelType w:val="hybridMultilevel"/>
    <w:tmpl w:val="A5E83DB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F73ADA"/>
    <w:multiLevelType w:val="hybridMultilevel"/>
    <w:tmpl w:val="E34458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B7E1D"/>
    <w:multiLevelType w:val="hybridMultilevel"/>
    <w:tmpl w:val="FB441B4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DF0C22"/>
    <w:multiLevelType w:val="hybridMultilevel"/>
    <w:tmpl w:val="54E0A7F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7633A4"/>
    <w:multiLevelType w:val="hybridMultilevel"/>
    <w:tmpl w:val="BF2CA2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4"/>
  </w:num>
  <w:num w:numId="4">
    <w:abstractNumId w:val="11"/>
  </w:num>
  <w:num w:numId="5">
    <w:abstractNumId w:val="4"/>
  </w:num>
  <w:num w:numId="6">
    <w:abstractNumId w:val="3"/>
  </w:num>
  <w:num w:numId="7">
    <w:abstractNumId w:val="10"/>
  </w:num>
  <w:num w:numId="8">
    <w:abstractNumId w:val="8"/>
  </w:num>
  <w:num w:numId="9">
    <w:abstractNumId w:val="1"/>
  </w:num>
  <w:num w:numId="10">
    <w:abstractNumId w:val="13"/>
  </w:num>
  <w:num w:numId="11">
    <w:abstractNumId w:val="6"/>
  </w:num>
  <w:num w:numId="12">
    <w:abstractNumId w:val="5"/>
  </w:num>
  <w:num w:numId="13">
    <w:abstractNumId w:val="12"/>
  </w:num>
  <w:num w:numId="14">
    <w:abstractNumId w:val="7"/>
  </w:num>
  <w:num w:numId="1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PE" w:vendorID="64" w:dllVersion="6" w:nlCheck="1" w:checkStyle="0"/>
  <w:activeWritingStyle w:appName="MSWord" w:lang="es-ES_tradnl" w:vendorID="64" w:dllVersion="6" w:nlCheck="1" w:checkStyle="0"/>
  <w:activeWritingStyle w:appName="MSWord" w:lang="es-PE" w:vendorID="64" w:dllVersion="4096" w:nlCheck="1" w:checkStyle="0"/>
  <w:activeWritingStyle w:appName="MSWord" w:lang="es-ES_tradnl" w:vendorID="64" w:dllVersion="4096" w:nlCheck="1" w:checkStyle="0"/>
  <w:activeWritingStyle w:appName="MSWord" w:lang="es-PE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3D"/>
    <w:rsid w:val="00002A6A"/>
    <w:rsid w:val="000369A3"/>
    <w:rsid w:val="000374B3"/>
    <w:rsid w:val="000531E3"/>
    <w:rsid w:val="00056586"/>
    <w:rsid w:val="00056CE2"/>
    <w:rsid w:val="00062B9C"/>
    <w:rsid w:val="00077E1A"/>
    <w:rsid w:val="000821DA"/>
    <w:rsid w:val="0008285C"/>
    <w:rsid w:val="00087D4A"/>
    <w:rsid w:val="00092252"/>
    <w:rsid w:val="000A434C"/>
    <w:rsid w:val="000B10FB"/>
    <w:rsid w:val="000D2FAE"/>
    <w:rsid w:val="000D542B"/>
    <w:rsid w:val="00105CF9"/>
    <w:rsid w:val="00107FBA"/>
    <w:rsid w:val="0011660A"/>
    <w:rsid w:val="00140A9E"/>
    <w:rsid w:val="00142135"/>
    <w:rsid w:val="001438C3"/>
    <w:rsid w:val="00155693"/>
    <w:rsid w:val="00155DBC"/>
    <w:rsid w:val="00164C59"/>
    <w:rsid w:val="00166287"/>
    <w:rsid w:val="00184E21"/>
    <w:rsid w:val="001B0C75"/>
    <w:rsid w:val="001B171B"/>
    <w:rsid w:val="001B410B"/>
    <w:rsid w:val="001C0E49"/>
    <w:rsid w:val="001C4069"/>
    <w:rsid w:val="001C5BFD"/>
    <w:rsid w:val="001D0B10"/>
    <w:rsid w:val="001D3873"/>
    <w:rsid w:val="001D6C73"/>
    <w:rsid w:val="001E3531"/>
    <w:rsid w:val="001E3A25"/>
    <w:rsid w:val="001F4240"/>
    <w:rsid w:val="00204813"/>
    <w:rsid w:val="0021557A"/>
    <w:rsid w:val="00225B10"/>
    <w:rsid w:val="00226B86"/>
    <w:rsid w:val="0023250F"/>
    <w:rsid w:val="0023474B"/>
    <w:rsid w:val="0023711F"/>
    <w:rsid w:val="00242042"/>
    <w:rsid w:val="0024250F"/>
    <w:rsid w:val="0024739E"/>
    <w:rsid w:val="00254257"/>
    <w:rsid w:val="0026591C"/>
    <w:rsid w:val="00267E8A"/>
    <w:rsid w:val="0027771B"/>
    <w:rsid w:val="00283FC8"/>
    <w:rsid w:val="0028416D"/>
    <w:rsid w:val="00291BB7"/>
    <w:rsid w:val="00297027"/>
    <w:rsid w:val="002A00A5"/>
    <w:rsid w:val="002C7FB5"/>
    <w:rsid w:val="002D470B"/>
    <w:rsid w:val="002D5254"/>
    <w:rsid w:val="002E2981"/>
    <w:rsid w:val="002F60C5"/>
    <w:rsid w:val="002F6BD5"/>
    <w:rsid w:val="002F6C46"/>
    <w:rsid w:val="003002F8"/>
    <w:rsid w:val="003113A9"/>
    <w:rsid w:val="003440DB"/>
    <w:rsid w:val="00347A2B"/>
    <w:rsid w:val="00363E73"/>
    <w:rsid w:val="003655FF"/>
    <w:rsid w:val="003802D6"/>
    <w:rsid w:val="00383228"/>
    <w:rsid w:val="003953F5"/>
    <w:rsid w:val="00396222"/>
    <w:rsid w:val="003A22A7"/>
    <w:rsid w:val="003B4928"/>
    <w:rsid w:val="003C26E3"/>
    <w:rsid w:val="003D20B5"/>
    <w:rsid w:val="003E23BD"/>
    <w:rsid w:val="003F74D9"/>
    <w:rsid w:val="00404A06"/>
    <w:rsid w:val="00410062"/>
    <w:rsid w:val="00410C4B"/>
    <w:rsid w:val="00411D56"/>
    <w:rsid w:val="00416CAB"/>
    <w:rsid w:val="004170C1"/>
    <w:rsid w:val="004247E6"/>
    <w:rsid w:val="00425FDB"/>
    <w:rsid w:val="004508C4"/>
    <w:rsid w:val="004549A1"/>
    <w:rsid w:val="00456943"/>
    <w:rsid w:val="004617A1"/>
    <w:rsid w:val="0046384F"/>
    <w:rsid w:val="00465E34"/>
    <w:rsid w:val="0047077A"/>
    <w:rsid w:val="00483092"/>
    <w:rsid w:val="004956CB"/>
    <w:rsid w:val="004A1FC2"/>
    <w:rsid w:val="004B0E83"/>
    <w:rsid w:val="004B2B6A"/>
    <w:rsid w:val="004D2088"/>
    <w:rsid w:val="004D3205"/>
    <w:rsid w:val="004D729A"/>
    <w:rsid w:val="004F14F8"/>
    <w:rsid w:val="004F47CE"/>
    <w:rsid w:val="00503807"/>
    <w:rsid w:val="00516E13"/>
    <w:rsid w:val="00547275"/>
    <w:rsid w:val="0055411F"/>
    <w:rsid w:val="00577E28"/>
    <w:rsid w:val="00584321"/>
    <w:rsid w:val="005953D3"/>
    <w:rsid w:val="00597929"/>
    <w:rsid w:val="005B19C3"/>
    <w:rsid w:val="005C5A72"/>
    <w:rsid w:val="005D1351"/>
    <w:rsid w:val="005D68B7"/>
    <w:rsid w:val="005E15BB"/>
    <w:rsid w:val="005E3196"/>
    <w:rsid w:val="005F003D"/>
    <w:rsid w:val="005F1DD6"/>
    <w:rsid w:val="00607BC7"/>
    <w:rsid w:val="00615F2B"/>
    <w:rsid w:val="00622283"/>
    <w:rsid w:val="00624B9A"/>
    <w:rsid w:val="00626FD6"/>
    <w:rsid w:val="00627407"/>
    <w:rsid w:val="00637C54"/>
    <w:rsid w:val="00667E5B"/>
    <w:rsid w:val="006726FE"/>
    <w:rsid w:val="00676EE3"/>
    <w:rsid w:val="0068644C"/>
    <w:rsid w:val="006A34F6"/>
    <w:rsid w:val="006B1094"/>
    <w:rsid w:val="006B6D8D"/>
    <w:rsid w:val="006C1F41"/>
    <w:rsid w:val="006C387A"/>
    <w:rsid w:val="006D4419"/>
    <w:rsid w:val="006D7011"/>
    <w:rsid w:val="006F7E5A"/>
    <w:rsid w:val="00704F2B"/>
    <w:rsid w:val="00750DDB"/>
    <w:rsid w:val="007562BE"/>
    <w:rsid w:val="00763A0E"/>
    <w:rsid w:val="00764B5C"/>
    <w:rsid w:val="0077226C"/>
    <w:rsid w:val="00777EF9"/>
    <w:rsid w:val="00796D62"/>
    <w:rsid w:val="007A1613"/>
    <w:rsid w:val="007B3767"/>
    <w:rsid w:val="007E0E26"/>
    <w:rsid w:val="007E62D2"/>
    <w:rsid w:val="00804D18"/>
    <w:rsid w:val="008154D0"/>
    <w:rsid w:val="008358A3"/>
    <w:rsid w:val="00843799"/>
    <w:rsid w:val="00847056"/>
    <w:rsid w:val="008559CD"/>
    <w:rsid w:val="0086492B"/>
    <w:rsid w:val="0086680B"/>
    <w:rsid w:val="0087341A"/>
    <w:rsid w:val="00874B43"/>
    <w:rsid w:val="00893E66"/>
    <w:rsid w:val="008A1338"/>
    <w:rsid w:val="008A4986"/>
    <w:rsid w:val="008B1A05"/>
    <w:rsid w:val="008B47EE"/>
    <w:rsid w:val="008B4901"/>
    <w:rsid w:val="008B64AA"/>
    <w:rsid w:val="008C29F4"/>
    <w:rsid w:val="008C6484"/>
    <w:rsid w:val="008C7273"/>
    <w:rsid w:val="008D381E"/>
    <w:rsid w:val="008E7BF0"/>
    <w:rsid w:val="008F4D2B"/>
    <w:rsid w:val="0090066F"/>
    <w:rsid w:val="00920658"/>
    <w:rsid w:val="0092442A"/>
    <w:rsid w:val="00934F24"/>
    <w:rsid w:val="0093578C"/>
    <w:rsid w:val="009525B5"/>
    <w:rsid w:val="00952E2F"/>
    <w:rsid w:val="00955F46"/>
    <w:rsid w:val="00965AE5"/>
    <w:rsid w:val="00975E6A"/>
    <w:rsid w:val="00977105"/>
    <w:rsid w:val="0098034D"/>
    <w:rsid w:val="009844AA"/>
    <w:rsid w:val="00991D9F"/>
    <w:rsid w:val="00994368"/>
    <w:rsid w:val="009A01FB"/>
    <w:rsid w:val="009B3ECE"/>
    <w:rsid w:val="009C3B52"/>
    <w:rsid w:val="009D10FE"/>
    <w:rsid w:val="009D5B63"/>
    <w:rsid w:val="009E71E2"/>
    <w:rsid w:val="00A03E61"/>
    <w:rsid w:val="00A048BE"/>
    <w:rsid w:val="00A1122F"/>
    <w:rsid w:val="00A21A1B"/>
    <w:rsid w:val="00A23E39"/>
    <w:rsid w:val="00A2533C"/>
    <w:rsid w:val="00A36674"/>
    <w:rsid w:val="00A459C8"/>
    <w:rsid w:val="00A60EC0"/>
    <w:rsid w:val="00A63DD4"/>
    <w:rsid w:val="00A76B25"/>
    <w:rsid w:val="00A860D6"/>
    <w:rsid w:val="00A8779D"/>
    <w:rsid w:val="00A90C3D"/>
    <w:rsid w:val="00AA1691"/>
    <w:rsid w:val="00AA7353"/>
    <w:rsid w:val="00AB3B0C"/>
    <w:rsid w:val="00AB53C9"/>
    <w:rsid w:val="00AC29F0"/>
    <w:rsid w:val="00AD257F"/>
    <w:rsid w:val="00AD4D67"/>
    <w:rsid w:val="00AE19B1"/>
    <w:rsid w:val="00AF13D1"/>
    <w:rsid w:val="00AF41C2"/>
    <w:rsid w:val="00AF7D61"/>
    <w:rsid w:val="00B03B87"/>
    <w:rsid w:val="00B03DE0"/>
    <w:rsid w:val="00B06968"/>
    <w:rsid w:val="00B123C3"/>
    <w:rsid w:val="00B268C6"/>
    <w:rsid w:val="00B35087"/>
    <w:rsid w:val="00B42644"/>
    <w:rsid w:val="00B45054"/>
    <w:rsid w:val="00B46CD5"/>
    <w:rsid w:val="00B620E1"/>
    <w:rsid w:val="00B66E1E"/>
    <w:rsid w:val="00B7030B"/>
    <w:rsid w:val="00B76D21"/>
    <w:rsid w:val="00B80C37"/>
    <w:rsid w:val="00B84942"/>
    <w:rsid w:val="00B87FDB"/>
    <w:rsid w:val="00B95CA8"/>
    <w:rsid w:val="00BA4079"/>
    <w:rsid w:val="00BC009F"/>
    <w:rsid w:val="00BC4AB5"/>
    <w:rsid w:val="00BD29DD"/>
    <w:rsid w:val="00BD40AA"/>
    <w:rsid w:val="00BD4BA8"/>
    <w:rsid w:val="00BD558D"/>
    <w:rsid w:val="00BD6ABF"/>
    <w:rsid w:val="00BE4397"/>
    <w:rsid w:val="00BE78EA"/>
    <w:rsid w:val="00BF57D9"/>
    <w:rsid w:val="00C13FCD"/>
    <w:rsid w:val="00C373CD"/>
    <w:rsid w:val="00C420A8"/>
    <w:rsid w:val="00C42BAA"/>
    <w:rsid w:val="00C44BFE"/>
    <w:rsid w:val="00C53150"/>
    <w:rsid w:val="00C53ECE"/>
    <w:rsid w:val="00C6226E"/>
    <w:rsid w:val="00C746CC"/>
    <w:rsid w:val="00C7475A"/>
    <w:rsid w:val="00C75B29"/>
    <w:rsid w:val="00C84392"/>
    <w:rsid w:val="00C84D2F"/>
    <w:rsid w:val="00C92EA6"/>
    <w:rsid w:val="00CA02C0"/>
    <w:rsid w:val="00CB3570"/>
    <w:rsid w:val="00CB5FA2"/>
    <w:rsid w:val="00CB6D0F"/>
    <w:rsid w:val="00CC73FB"/>
    <w:rsid w:val="00CE6E3E"/>
    <w:rsid w:val="00CF04CC"/>
    <w:rsid w:val="00CF1C36"/>
    <w:rsid w:val="00CF508B"/>
    <w:rsid w:val="00CF797B"/>
    <w:rsid w:val="00D05B96"/>
    <w:rsid w:val="00D0740B"/>
    <w:rsid w:val="00D12ABC"/>
    <w:rsid w:val="00D15C88"/>
    <w:rsid w:val="00D2176E"/>
    <w:rsid w:val="00D2567B"/>
    <w:rsid w:val="00D349D6"/>
    <w:rsid w:val="00D45AB8"/>
    <w:rsid w:val="00D47181"/>
    <w:rsid w:val="00D554FB"/>
    <w:rsid w:val="00D60EE3"/>
    <w:rsid w:val="00D614C0"/>
    <w:rsid w:val="00D74A0B"/>
    <w:rsid w:val="00D8538B"/>
    <w:rsid w:val="00D9000B"/>
    <w:rsid w:val="00D95B99"/>
    <w:rsid w:val="00D978B2"/>
    <w:rsid w:val="00DA5109"/>
    <w:rsid w:val="00DC068A"/>
    <w:rsid w:val="00DC5E44"/>
    <w:rsid w:val="00DC640C"/>
    <w:rsid w:val="00DC72A4"/>
    <w:rsid w:val="00DD05BA"/>
    <w:rsid w:val="00DD088B"/>
    <w:rsid w:val="00DD3699"/>
    <w:rsid w:val="00DD617D"/>
    <w:rsid w:val="00DF338D"/>
    <w:rsid w:val="00E074E1"/>
    <w:rsid w:val="00E0758F"/>
    <w:rsid w:val="00E12B98"/>
    <w:rsid w:val="00E1593D"/>
    <w:rsid w:val="00E17FEE"/>
    <w:rsid w:val="00E22D3C"/>
    <w:rsid w:val="00E23E17"/>
    <w:rsid w:val="00E33E47"/>
    <w:rsid w:val="00E453C5"/>
    <w:rsid w:val="00E576CD"/>
    <w:rsid w:val="00E637A7"/>
    <w:rsid w:val="00E65DD8"/>
    <w:rsid w:val="00E66B6A"/>
    <w:rsid w:val="00E67A7F"/>
    <w:rsid w:val="00E709FD"/>
    <w:rsid w:val="00E70DED"/>
    <w:rsid w:val="00E76F6D"/>
    <w:rsid w:val="00E84CDA"/>
    <w:rsid w:val="00E949B9"/>
    <w:rsid w:val="00EA356C"/>
    <w:rsid w:val="00EC3D33"/>
    <w:rsid w:val="00ED3636"/>
    <w:rsid w:val="00ED6C24"/>
    <w:rsid w:val="00EF6BB9"/>
    <w:rsid w:val="00EF6F1E"/>
    <w:rsid w:val="00F01354"/>
    <w:rsid w:val="00F07BAE"/>
    <w:rsid w:val="00F10F24"/>
    <w:rsid w:val="00F21FAF"/>
    <w:rsid w:val="00F27796"/>
    <w:rsid w:val="00F316AF"/>
    <w:rsid w:val="00F34215"/>
    <w:rsid w:val="00F3591F"/>
    <w:rsid w:val="00F377A0"/>
    <w:rsid w:val="00F42DF6"/>
    <w:rsid w:val="00F56D5A"/>
    <w:rsid w:val="00F6196D"/>
    <w:rsid w:val="00F64AE8"/>
    <w:rsid w:val="00F764D9"/>
    <w:rsid w:val="00F80087"/>
    <w:rsid w:val="00F85B1B"/>
    <w:rsid w:val="00F9716A"/>
    <w:rsid w:val="00FB73ED"/>
    <w:rsid w:val="00FC340C"/>
    <w:rsid w:val="00FD5382"/>
    <w:rsid w:val="00FE1385"/>
    <w:rsid w:val="00FE6824"/>
    <w:rsid w:val="00FF012F"/>
    <w:rsid w:val="00FF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18154C8D"/>
  <w15:chartTrackingRefBased/>
  <w15:docId w15:val="{3BBE0335-E7B6-45CA-BA29-52053931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658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link w:val="Ttulo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link w:val="Ttulo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link w:val="Ttulo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link w:val="Ttulo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link w:val="Ttulo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issutil">
    <w:name w:val="Subtle Emphasis"/>
    <w:uiPriority w:val="19"/>
    <w:qFormat/>
    <w:rPr>
      <w:i/>
      <w:iCs/>
      <w:color w:val="808080" w:themeColor="text1" w:themeTint="7F"/>
    </w:rPr>
  </w:style>
  <w:style w:type="character" w:styleId="nfasis">
    <w:name w:val="Emphasis"/>
    <w:uiPriority w:val="20"/>
    <w:qFormat/>
    <w:rPr>
      <w:i/>
      <w:iCs/>
    </w:rPr>
  </w:style>
  <w:style w:type="character" w:styleId="nfasisintenso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link w:val="Citadestacada"/>
    <w:uiPriority w:val="30"/>
    <w:rPr>
      <w:b/>
      <w:bCs/>
      <w:i/>
      <w:iCs/>
      <w:color w:val="5B9BD5" w:themeColor="accent1"/>
    </w:rPr>
  </w:style>
  <w:style w:type="character" w:styleId="Referenciasutil">
    <w:name w:val="Subtle Reference"/>
    <w:uiPriority w:val="31"/>
    <w:qFormat/>
    <w:rPr>
      <w:smallCaps/>
      <w:color w:val="ED7D31" w:themeColor="accent2"/>
      <w:u w:val="single"/>
    </w:rPr>
  </w:style>
  <w:style w:type="character" w:styleId="Referenciaintens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uiPriority w:val="33"/>
    <w:qFormat/>
    <w:rPr>
      <w:b/>
      <w:bCs/>
      <w:smallCaps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Descripci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rrafodelista">
    <w:name w:val="List Paragraph"/>
    <w:aliases w:val="Fundamentacion,Lista vistosa - Énfasis 11,paul2,Footnote,List Paragraph1,Titulo 1,SubPárrafo de lista,Cuadro 2-1,List number Paragraph,SOP_bullet1,F5 List Paragraph,Dot pt,No Spacing1,List Paragraph Char Char Char,titulo,List Paragraph"/>
    <w:basedOn w:val="Normal"/>
    <w:link w:val="PrrafodelistaCar"/>
    <w:uiPriority w:val="34"/>
    <w:qFormat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ES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PrrafodelistaCar">
    <w:name w:val="Párrafo de lista Car"/>
    <w:aliases w:val="Fundamentacion Car,Lista vistosa - Énfasis 11 Car,paul2 Car,Footnote Car,List Paragraph1 Car,Titulo 1 Car,SubPárrafo de lista Car,Cuadro 2-1 Car,List number Paragraph Car,SOP_bullet1 Car,F5 List Paragraph Car,Dot pt Car,titulo Car"/>
    <w:link w:val="Prrafodelista"/>
    <w:uiPriority w:val="34"/>
    <w:qFormat/>
    <w:rPr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arrafo-gior">
    <w:name w:val="Parrafo-gior"/>
    <w:basedOn w:val="Normal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864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84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nku.osiptel.gob.pe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punku.osiptel.gob.pe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4D574-232F-4C48-A1E2-9AFC54CD8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Omar Herrera Villanueva</dc:creator>
  <cp:lastModifiedBy>Omar Herrera Villanueva</cp:lastModifiedBy>
  <cp:revision>3</cp:revision>
  <dcterms:created xsi:type="dcterms:W3CDTF">2024-09-03T23:15:00Z</dcterms:created>
  <dcterms:modified xsi:type="dcterms:W3CDTF">2024-09-04T22:53:00Z</dcterms:modified>
</cp:coreProperties>
</file>