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331F1" w14:textId="6796A4F5" w:rsidR="0093786A" w:rsidRDefault="0015184D" w:rsidP="0093786A">
      <w:pPr>
        <w:spacing w:after="0" w:line="240" w:lineRule="auto"/>
        <w:jc w:val="center"/>
        <w:rPr>
          <w:b/>
          <w:sz w:val="28"/>
          <w:szCs w:val="28"/>
        </w:rPr>
      </w:pPr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 xml:space="preserve">NOTA DE PRENSA </w:t>
      </w:r>
      <w:proofErr w:type="spellStart"/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N.</w:t>
      </w:r>
      <w:r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>o</w:t>
      </w:r>
      <w:proofErr w:type="spellEnd"/>
      <w:r w:rsidR="000147FB"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 xml:space="preserve"> </w:t>
      </w:r>
      <w:r w:rsidR="00A321F9">
        <w:rPr>
          <w:rFonts w:ascii="Calibri" w:hAnsi="Calibri" w:cs="Calibri"/>
          <w:b/>
          <w:sz w:val="30"/>
          <w:szCs w:val="30"/>
          <w:u w:val="single"/>
          <w:lang w:val="es-MX"/>
        </w:rPr>
        <w:t>63</w:t>
      </w:r>
      <w:r w:rsidR="007E5008"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-2026</w:t>
      </w:r>
      <w:r w:rsidR="0093786A" w:rsidRPr="0093786A">
        <w:rPr>
          <w:b/>
          <w:sz w:val="28"/>
          <w:szCs w:val="28"/>
        </w:rPr>
        <w:t xml:space="preserve"> </w:t>
      </w:r>
    </w:p>
    <w:p w14:paraId="05F6156C" w14:textId="77777777" w:rsidR="00A321F9" w:rsidRPr="00342B34" w:rsidRDefault="00A321F9" w:rsidP="00A321F9">
      <w:pPr>
        <w:spacing w:after="0" w:line="240" w:lineRule="auto"/>
        <w:jc w:val="center"/>
        <w:rPr>
          <w:b/>
          <w:sz w:val="32"/>
          <w:szCs w:val="32"/>
          <w:lang w:val="es-MX"/>
        </w:rPr>
      </w:pPr>
      <w:bookmarkStart w:id="0" w:name="_GoBack"/>
      <w:proofErr w:type="spellStart"/>
      <w:r>
        <w:rPr>
          <w:b/>
          <w:sz w:val="32"/>
          <w:szCs w:val="32"/>
          <w:lang w:val="es-MX"/>
        </w:rPr>
        <w:t>OSIPTEL</w:t>
      </w:r>
      <w:proofErr w:type="spellEnd"/>
      <w:r>
        <w:rPr>
          <w:b/>
          <w:sz w:val="32"/>
          <w:szCs w:val="32"/>
          <w:lang w:val="es-MX"/>
        </w:rPr>
        <w:t>: más de 520</w:t>
      </w:r>
      <w:r w:rsidRPr="00342B34">
        <w:rPr>
          <w:b/>
          <w:sz w:val="32"/>
          <w:szCs w:val="32"/>
          <w:lang w:val="es-MX"/>
        </w:rPr>
        <w:t xml:space="preserve"> </w:t>
      </w:r>
      <w:r>
        <w:rPr>
          <w:b/>
          <w:sz w:val="32"/>
          <w:szCs w:val="32"/>
          <w:lang w:val="es-MX"/>
        </w:rPr>
        <w:t>000 líneas cambiaron de empresa operadora</w:t>
      </w:r>
      <w:r w:rsidRPr="00342B34">
        <w:rPr>
          <w:b/>
          <w:sz w:val="32"/>
          <w:szCs w:val="32"/>
          <w:lang w:val="es-MX"/>
        </w:rPr>
        <w:t xml:space="preserve"> en </w:t>
      </w:r>
      <w:r>
        <w:rPr>
          <w:b/>
          <w:sz w:val="32"/>
          <w:szCs w:val="32"/>
          <w:lang w:val="es-MX"/>
        </w:rPr>
        <w:t>abril</w:t>
      </w:r>
      <w:r w:rsidRPr="003956B4">
        <w:rPr>
          <w:b/>
          <w:sz w:val="32"/>
          <w:szCs w:val="32"/>
          <w:lang w:val="es-MX"/>
        </w:rPr>
        <w:t xml:space="preserve"> </w:t>
      </w:r>
      <w:r>
        <w:rPr>
          <w:b/>
          <w:sz w:val="32"/>
          <w:szCs w:val="32"/>
          <w:lang w:val="es-MX"/>
        </w:rPr>
        <w:t>con la p</w:t>
      </w:r>
      <w:r w:rsidRPr="00342B34">
        <w:rPr>
          <w:b/>
          <w:sz w:val="32"/>
          <w:szCs w:val="32"/>
          <w:lang w:val="es-MX"/>
        </w:rPr>
        <w:t xml:space="preserve">ortabilidad </w:t>
      </w:r>
      <w:r>
        <w:rPr>
          <w:b/>
          <w:sz w:val="32"/>
          <w:szCs w:val="32"/>
          <w:lang w:val="es-MX"/>
        </w:rPr>
        <w:t>móvil</w:t>
      </w:r>
    </w:p>
    <w:bookmarkEnd w:id="0"/>
    <w:p w14:paraId="4CA0946B" w14:textId="77777777" w:rsidR="00A321F9" w:rsidRDefault="00A321F9" w:rsidP="00A321F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Más del 76 % de las portaciones móviles correspondió al segmento </w:t>
      </w:r>
      <w:proofErr w:type="spellStart"/>
      <w:r>
        <w:rPr>
          <w:sz w:val="24"/>
          <w:szCs w:val="24"/>
          <w:lang w:val="es-MX"/>
        </w:rPr>
        <w:t>pospago</w:t>
      </w:r>
      <w:proofErr w:type="spellEnd"/>
      <w:r>
        <w:rPr>
          <w:sz w:val="24"/>
          <w:szCs w:val="24"/>
          <w:lang w:val="es-MX"/>
        </w:rPr>
        <w:t>.</w:t>
      </w:r>
    </w:p>
    <w:p w14:paraId="476AB1F3" w14:textId="77777777" w:rsidR="00A321F9" w:rsidRDefault="00A321F9" w:rsidP="00A321F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Claro, </w:t>
      </w:r>
      <w:proofErr w:type="spellStart"/>
      <w:r>
        <w:rPr>
          <w:sz w:val="24"/>
          <w:szCs w:val="24"/>
          <w:lang w:val="es-MX"/>
        </w:rPr>
        <w:t>Bitel</w:t>
      </w:r>
      <w:proofErr w:type="spellEnd"/>
      <w:r>
        <w:rPr>
          <w:sz w:val="24"/>
          <w:szCs w:val="24"/>
          <w:lang w:val="es-MX"/>
        </w:rPr>
        <w:t xml:space="preserve"> y Guinea Mobile alcanzaron resultados netos positivos, es decir ganaron más líneas de las que perdieron.</w:t>
      </w:r>
    </w:p>
    <w:p w14:paraId="63399263" w14:textId="77777777" w:rsidR="00A321F9" w:rsidRPr="00A00D53" w:rsidRDefault="00A321F9" w:rsidP="00A321F9">
      <w:pPr>
        <w:pStyle w:val="Prrafodelista"/>
        <w:spacing w:after="0" w:line="240" w:lineRule="auto"/>
        <w:jc w:val="both"/>
        <w:rPr>
          <w:sz w:val="24"/>
          <w:szCs w:val="24"/>
          <w:lang w:val="es-MX"/>
        </w:rPr>
      </w:pPr>
    </w:p>
    <w:p w14:paraId="32B1DB5F" w14:textId="77777777" w:rsidR="00A321F9" w:rsidRPr="00DD7198" w:rsidRDefault="00A321F9" w:rsidP="00A321F9">
      <w:pPr>
        <w:jc w:val="both"/>
        <w:rPr>
          <w:sz w:val="24"/>
          <w:szCs w:val="24"/>
          <w:lang w:val="es-MX"/>
        </w:rPr>
      </w:pPr>
      <w:r w:rsidRPr="00DD7198">
        <w:rPr>
          <w:sz w:val="24"/>
          <w:szCs w:val="24"/>
          <w:lang w:val="es-MX"/>
        </w:rPr>
        <w:t xml:space="preserve">Un total de 520 465 </w:t>
      </w:r>
      <w:r w:rsidRPr="00DD7198">
        <w:rPr>
          <w:b/>
          <w:bCs/>
          <w:sz w:val="24"/>
          <w:szCs w:val="24"/>
          <w:lang w:val="es-MX"/>
        </w:rPr>
        <w:t>líneas móviles</w:t>
      </w:r>
      <w:r w:rsidRPr="00DD7198">
        <w:rPr>
          <w:sz w:val="24"/>
          <w:szCs w:val="24"/>
          <w:lang w:val="es-MX"/>
        </w:rPr>
        <w:t xml:space="preserve"> cambiaron de empresa operadora en abril de 2026, manteniendo las cifras de la </w:t>
      </w:r>
      <w:r w:rsidRPr="00DD7198">
        <w:rPr>
          <w:b/>
          <w:sz w:val="24"/>
          <w:szCs w:val="24"/>
          <w:lang w:val="es-MX"/>
        </w:rPr>
        <w:t>portabilidad</w:t>
      </w:r>
      <w:r w:rsidRPr="00DD7198">
        <w:rPr>
          <w:bCs/>
          <w:sz w:val="24"/>
          <w:szCs w:val="24"/>
          <w:lang w:val="es-MX"/>
        </w:rPr>
        <w:t xml:space="preserve"> por encima del medio millón de operaciones por segundo mes consecutivo en lo que va del año,</w:t>
      </w:r>
      <w:r w:rsidRPr="00DD7198">
        <w:rPr>
          <w:b/>
          <w:bCs/>
          <w:sz w:val="24"/>
          <w:szCs w:val="24"/>
          <w:lang w:val="es-MX"/>
        </w:rPr>
        <w:t xml:space="preserve"> </w:t>
      </w:r>
      <w:r w:rsidRPr="00DD7198">
        <w:rPr>
          <w:sz w:val="24"/>
          <w:szCs w:val="24"/>
          <w:lang w:val="es-MX"/>
        </w:rPr>
        <w:t>informó el Organismo Supervisor de Inversión Privada en Telecomunicaciones (</w:t>
      </w:r>
      <w:proofErr w:type="spellStart"/>
      <w:r>
        <w:fldChar w:fldCharType="begin"/>
      </w:r>
      <w:r>
        <w:instrText xml:space="preserve"> HYPERLINK "https://www.gob.pe/osiptel" </w:instrText>
      </w:r>
      <w:r>
        <w:fldChar w:fldCharType="separate"/>
      </w:r>
      <w:r w:rsidRPr="00DD7198">
        <w:rPr>
          <w:rStyle w:val="Hipervnculo"/>
          <w:b/>
          <w:bCs/>
          <w:sz w:val="24"/>
          <w:szCs w:val="24"/>
          <w:lang w:val="es-MX"/>
        </w:rPr>
        <w:t>OSIPTEL</w:t>
      </w:r>
      <w:proofErr w:type="spellEnd"/>
      <w:r>
        <w:rPr>
          <w:rStyle w:val="Hipervnculo"/>
          <w:b/>
          <w:bCs/>
          <w:sz w:val="24"/>
          <w:szCs w:val="24"/>
          <w:lang w:val="es-MX"/>
        </w:rPr>
        <w:fldChar w:fldCharType="end"/>
      </w:r>
      <w:r w:rsidRPr="00DD7198">
        <w:rPr>
          <w:sz w:val="24"/>
          <w:szCs w:val="24"/>
          <w:lang w:val="es-MX"/>
        </w:rPr>
        <w:t>).</w:t>
      </w:r>
    </w:p>
    <w:p w14:paraId="6C39AB91" w14:textId="77777777" w:rsidR="00A321F9" w:rsidRDefault="00A321F9" w:rsidP="00A321F9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Estos datos muestran una tendencia a la estabilización de la portaciones</w:t>
      </w:r>
      <w:r w:rsidRPr="00DD7198">
        <w:rPr>
          <w:sz w:val="24"/>
          <w:szCs w:val="24"/>
          <w:lang w:val="es-MX"/>
        </w:rPr>
        <w:t xml:space="preserve"> </w:t>
      </w:r>
      <w:hyperlink r:id="rId7" w:history="1">
        <w:r w:rsidRPr="00DD7198">
          <w:rPr>
            <w:rStyle w:val="Hipervnculo"/>
            <w:sz w:val="24"/>
            <w:szCs w:val="24"/>
            <w:lang w:val="es-MX"/>
          </w:rPr>
          <w:t>respecto a la cifra del mes anterior</w:t>
        </w:r>
      </w:hyperlink>
      <w:r w:rsidRPr="00DD7198">
        <w:rPr>
          <w:sz w:val="24"/>
          <w:szCs w:val="24"/>
          <w:lang w:val="es-MX"/>
        </w:rPr>
        <w:t xml:space="preserve"> (536 832),</w:t>
      </w:r>
      <w:r>
        <w:rPr>
          <w:sz w:val="24"/>
          <w:szCs w:val="24"/>
          <w:lang w:val="es-MX"/>
        </w:rPr>
        <w:t xml:space="preserve"> y reafirma que los usuarios están en una búsqueda constante de</w:t>
      </w:r>
      <w:r w:rsidRPr="00A67A7A">
        <w:rPr>
          <w:sz w:val="24"/>
          <w:szCs w:val="24"/>
          <w:lang w:val="es-MX"/>
        </w:rPr>
        <w:t xml:space="preserve"> mejores planes, mayo</w:t>
      </w:r>
      <w:r>
        <w:rPr>
          <w:sz w:val="24"/>
          <w:szCs w:val="24"/>
          <w:lang w:val="es-MX"/>
        </w:rPr>
        <w:t>r cobertura y precios más económicos</w:t>
      </w:r>
      <w:r w:rsidRPr="00A67A7A">
        <w:rPr>
          <w:sz w:val="24"/>
          <w:szCs w:val="24"/>
          <w:lang w:val="es-MX"/>
        </w:rPr>
        <w:t>.</w:t>
      </w:r>
    </w:p>
    <w:p w14:paraId="7B77D4A1" w14:textId="6DF16A04" w:rsidR="00A321F9" w:rsidRDefault="00A321F9" w:rsidP="00A321F9">
      <w:pPr>
        <w:jc w:val="center"/>
        <w:rPr>
          <w:sz w:val="24"/>
          <w:szCs w:val="24"/>
          <w:lang w:val="es-MX"/>
        </w:rPr>
      </w:pPr>
      <w:r w:rsidRPr="00A321F9">
        <w:rPr>
          <w:noProof/>
          <w:sz w:val="24"/>
          <w:szCs w:val="24"/>
          <w:lang w:eastAsia="es-PE"/>
        </w:rPr>
        <w:drawing>
          <wp:inline distT="0" distB="0" distL="0" distR="0" wp14:anchorId="21B6FDFF" wp14:editId="38F61B6C">
            <wp:extent cx="5400040" cy="3096585"/>
            <wp:effectExtent l="0" t="0" r="0" b="8890"/>
            <wp:docPr id="4" name="Imagen 4" descr="W:\2026\AOCRI - PRENSA\TEMAS\PORTABILIDAD\Abril\_(C)NP-PORTABILIDAD-ABRIL_grafic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2026\AOCRI - PRENSA\TEMAS\PORTABILIDAD\Abril\_(C)NP-PORTABILIDAD-ABRIL_grafico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9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AA723" w14:textId="77777777" w:rsidR="00A321F9" w:rsidRPr="00446AF3" w:rsidRDefault="00A321F9" w:rsidP="00A321F9">
      <w:pPr>
        <w:jc w:val="both"/>
        <w:rPr>
          <w:sz w:val="24"/>
          <w:szCs w:val="24"/>
          <w:lang w:val="es-MX"/>
        </w:rPr>
      </w:pPr>
      <w:r w:rsidRPr="00DD7198">
        <w:rPr>
          <w:sz w:val="24"/>
          <w:szCs w:val="24"/>
          <w:lang w:val="es-MX"/>
        </w:rPr>
        <w:t>Cabe señalar que</w:t>
      </w:r>
      <w:r>
        <w:rPr>
          <w:sz w:val="24"/>
          <w:szCs w:val="24"/>
          <w:lang w:val="es-MX"/>
        </w:rPr>
        <w:t>,</w:t>
      </w:r>
      <w:r w:rsidRPr="00DD7198">
        <w:rPr>
          <w:sz w:val="24"/>
          <w:szCs w:val="24"/>
          <w:lang w:val="es-MX"/>
        </w:rPr>
        <w:t xml:space="preserve"> de acuerdo con los datos proporcionados por el </w:t>
      </w:r>
      <w:r w:rsidRPr="00DD7198">
        <w:rPr>
          <w:b/>
          <w:bCs/>
          <w:sz w:val="24"/>
          <w:szCs w:val="24"/>
          <w:lang w:val="es-MX"/>
        </w:rPr>
        <w:t>Administrador de Base de Datos de Portabilidad</w:t>
      </w:r>
      <w:r w:rsidRPr="00DD7198">
        <w:rPr>
          <w:sz w:val="24"/>
          <w:szCs w:val="24"/>
          <w:lang w:val="es-MX"/>
        </w:rPr>
        <w:t xml:space="preserve"> (</w:t>
      </w:r>
      <w:proofErr w:type="spellStart"/>
      <w:r w:rsidRPr="00DD7198">
        <w:rPr>
          <w:b/>
          <w:bCs/>
          <w:sz w:val="24"/>
          <w:szCs w:val="24"/>
          <w:lang w:val="es-MX"/>
        </w:rPr>
        <w:t>ABDP</w:t>
      </w:r>
      <w:proofErr w:type="spellEnd"/>
      <w:r w:rsidRPr="00DD7198">
        <w:rPr>
          <w:sz w:val="24"/>
          <w:szCs w:val="24"/>
          <w:lang w:val="es-MX"/>
        </w:rPr>
        <w:t xml:space="preserve">) al </w:t>
      </w:r>
      <w:proofErr w:type="spellStart"/>
      <w:r w:rsidRPr="00DD7198">
        <w:rPr>
          <w:sz w:val="24"/>
          <w:szCs w:val="24"/>
          <w:lang w:val="es-MX"/>
        </w:rPr>
        <w:t>OSIPTEL</w:t>
      </w:r>
      <w:proofErr w:type="spellEnd"/>
      <w:r w:rsidRPr="00DD7198">
        <w:rPr>
          <w:sz w:val="24"/>
          <w:szCs w:val="24"/>
          <w:lang w:val="es-MX"/>
        </w:rPr>
        <w:t xml:space="preserve">, del total de portaciones realizadas en abril, más del 76 % correspondió a líneas del </w:t>
      </w:r>
      <w:r w:rsidRPr="00DD7198">
        <w:rPr>
          <w:b/>
          <w:sz w:val="24"/>
          <w:szCs w:val="24"/>
          <w:lang w:val="es-MX"/>
        </w:rPr>
        <w:t xml:space="preserve">segmento </w:t>
      </w:r>
      <w:proofErr w:type="spellStart"/>
      <w:r w:rsidRPr="00DD7198">
        <w:rPr>
          <w:b/>
          <w:sz w:val="24"/>
          <w:szCs w:val="24"/>
          <w:lang w:val="es-MX"/>
        </w:rPr>
        <w:t>pospago</w:t>
      </w:r>
      <w:proofErr w:type="spellEnd"/>
      <w:r w:rsidRPr="00DD7198">
        <w:rPr>
          <w:sz w:val="24"/>
          <w:szCs w:val="24"/>
          <w:lang w:val="es-MX"/>
        </w:rPr>
        <w:t xml:space="preserve"> (397 628), el más dinámico del mercado móvil.</w:t>
      </w:r>
      <w:r>
        <w:rPr>
          <w:sz w:val="24"/>
          <w:szCs w:val="24"/>
          <w:lang w:val="es-MX"/>
        </w:rPr>
        <w:t xml:space="preserve"> </w:t>
      </w:r>
    </w:p>
    <w:p w14:paraId="099AA091" w14:textId="77777777" w:rsidR="00A321F9" w:rsidRPr="00713086" w:rsidRDefault="00A321F9" w:rsidP="00A321F9">
      <w:pPr>
        <w:spacing w:after="0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Desempeño por empresa operadora</w:t>
      </w:r>
    </w:p>
    <w:p w14:paraId="0C0E8CA8" w14:textId="77777777" w:rsidR="00A321F9" w:rsidRDefault="00A321F9" w:rsidP="00A321F9">
      <w:pPr>
        <w:spacing w:after="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</w:t>
      </w:r>
      <w:r w:rsidRPr="00A36B6D">
        <w:rPr>
          <w:sz w:val="24"/>
          <w:szCs w:val="24"/>
          <w:lang w:val="es-MX"/>
        </w:rPr>
        <w:t xml:space="preserve"> las empresas operadoras </w:t>
      </w:r>
      <w:r>
        <w:rPr>
          <w:sz w:val="24"/>
          <w:szCs w:val="24"/>
          <w:lang w:val="es-MX"/>
        </w:rPr>
        <w:t>que participan en el</w:t>
      </w:r>
      <w:r w:rsidRPr="00A36B6D">
        <w:rPr>
          <w:sz w:val="24"/>
          <w:szCs w:val="24"/>
          <w:lang w:val="es-MX"/>
        </w:rPr>
        <w:t xml:space="preserve"> mercado</w:t>
      </w:r>
      <w:r>
        <w:rPr>
          <w:sz w:val="24"/>
          <w:szCs w:val="24"/>
          <w:lang w:val="es-MX"/>
        </w:rPr>
        <w:t xml:space="preserve"> móvil, </w:t>
      </w:r>
      <w:r w:rsidRPr="004541A6">
        <w:rPr>
          <w:b/>
          <w:bCs/>
          <w:sz w:val="24"/>
          <w:szCs w:val="24"/>
          <w:lang w:val="es-MX"/>
        </w:rPr>
        <w:t>Claro</w:t>
      </w:r>
      <w:r>
        <w:rPr>
          <w:b/>
          <w:bCs/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</w:t>
      </w:r>
      <w:proofErr w:type="spellStart"/>
      <w:r>
        <w:rPr>
          <w:b/>
          <w:bCs/>
          <w:sz w:val="24"/>
          <w:szCs w:val="24"/>
          <w:lang w:val="es-MX"/>
        </w:rPr>
        <w:t>Bitel</w:t>
      </w:r>
      <w:proofErr w:type="spellEnd"/>
      <w:r>
        <w:rPr>
          <w:b/>
          <w:bCs/>
          <w:sz w:val="24"/>
          <w:szCs w:val="24"/>
          <w:lang w:val="es-MX"/>
        </w:rPr>
        <w:t xml:space="preserve"> </w:t>
      </w:r>
      <w:r w:rsidRPr="00590A46">
        <w:rPr>
          <w:bCs/>
          <w:sz w:val="24"/>
          <w:szCs w:val="24"/>
          <w:lang w:val="es-MX"/>
        </w:rPr>
        <w:t>y</w:t>
      </w:r>
      <w:r>
        <w:rPr>
          <w:b/>
          <w:bCs/>
          <w:sz w:val="24"/>
          <w:szCs w:val="24"/>
          <w:lang w:val="es-MX"/>
        </w:rPr>
        <w:t xml:space="preserve"> Guinea Mobile </w:t>
      </w:r>
      <w:r>
        <w:rPr>
          <w:sz w:val="24"/>
          <w:szCs w:val="24"/>
          <w:lang w:val="es-MX"/>
        </w:rPr>
        <w:t xml:space="preserve">alcanzaron </w:t>
      </w:r>
      <w:r w:rsidRPr="00713086">
        <w:rPr>
          <w:sz w:val="24"/>
          <w:szCs w:val="24"/>
          <w:lang w:val="es-MX"/>
        </w:rPr>
        <w:t>resultados netos positivos</w:t>
      </w:r>
      <w:r>
        <w:rPr>
          <w:sz w:val="24"/>
          <w:szCs w:val="24"/>
          <w:lang w:val="es-MX"/>
        </w:rPr>
        <w:t xml:space="preserve"> en abril</w:t>
      </w:r>
      <w:r w:rsidRPr="00713086">
        <w:rPr>
          <w:sz w:val="24"/>
          <w:szCs w:val="24"/>
          <w:lang w:val="es-MX"/>
        </w:rPr>
        <w:t xml:space="preserve">, es decir, ganaron más líneas </w:t>
      </w:r>
      <w:r>
        <w:rPr>
          <w:sz w:val="24"/>
          <w:szCs w:val="24"/>
          <w:lang w:val="es-MX"/>
        </w:rPr>
        <w:t xml:space="preserve">móviles </w:t>
      </w:r>
      <w:r w:rsidRPr="00713086">
        <w:rPr>
          <w:sz w:val="24"/>
          <w:szCs w:val="24"/>
          <w:lang w:val="es-MX"/>
        </w:rPr>
        <w:t xml:space="preserve">de las que perdieron. </w:t>
      </w:r>
      <w:r>
        <w:rPr>
          <w:sz w:val="24"/>
          <w:szCs w:val="24"/>
          <w:lang w:val="es-MX"/>
        </w:rPr>
        <w:t>Claro consiguió un saldo neto positivo de 14 689</w:t>
      </w:r>
      <w:r w:rsidRPr="00713086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líneas, mientras que </w:t>
      </w:r>
      <w:proofErr w:type="spellStart"/>
      <w:r>
        <w:rPr>
          <w:sz w:val="24"/>
          <w:szCs w:val="24"/>
          <w:lang w:val="es-MX"/>
        </w:rPr>
        <w:t>Bitel</w:t>
      </w:r>
      <w:proofErr w:type="spellEnd"/>
      <w:r>
        <w:rPr>
          <w:sz w:val="24"/>
          <w:szCs w:val="24"/>
          <w:lang w:val="es-MX"/>
        </w:rPr>
        <w:t xml:space="preserve"> muestra una tendencia hacia la </w:t>
      </w:r>
      <w:r w:rsidRPr="00CA7993">
        <w:rPr>
          <w:sz w:val="24"/>
          <w:szCs w:val="24"/>
          <w:lang w:val="es-MX"/>
        </w:rPr>
        <w:t xml:space="preserve">estabilidad con un saldo positivo </w:t>
      </w:r>
      <w:r>
        <w:rPr>
          <w:sz w:val="24"/>
          <w:szCs w:val="24"/>
          <w:lang w:val="es-MX"/>
        </w:rPr>
        <w:t xml:space="preserve">de </w:t>
      </w:r>
      <w:r w:rsidRPr="00CA7993">
        <w:rPr>
          <w:sz w:val="24"/>
          <w:szCs w:val="24"/>
          <w:lang w:val="es-MX"/>
        </w:rPr>
        <w:t>359</w:t>
      </w:r>
      <w:r>
        <w:rPr>
          <w:sz w:val="24"/>
          <w:szCs w:val="24"/>
          <w:lang w:val="es-MX"/>
        </w:rPr>
        <w:t xml:space="preserve"> líneas. Por su parte, Guinea Mobile,</w:t>
      </w:r>
      <w:r w:rsidRPr="00CA7993">
        <w:rPr>
          <w:sz w:val="24"/>
          <w:szCs w:val="24"/>
          <w:lang w:val="es-MX"/>
        </w:rPr>
        <w:t xml:space="preserve"> pese a su escala reducida, registr</w:t>
      </w:r>
      <w:r>
        <w:rPr>
          <w:sz w:val="24"/>
          <w:szCs w:val="24"/>
          <w:lang w:val="es-MX"/>
        </w:rPr>
        <w:t>ó</w:t>
      </w:r>
      <w:r w:rsidRPr="00CA7993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también un </w:t>
      </w:r>
      <w:r w:rsidRPr="00CA7993">
        <w:rPr>
          <w:sz w:val="24"/>
          <w:szCs w:val="24"/>
          <w:lang w:val="es-MX"/>
        </w:rPr>
        <w:t>saldo positivo, señal de que aún existen nichos para operadores pequeños o modelos comerciales diferenciados</w:t>
      </w:r>
      <w:r w:rsidRPr="00713086">
        <w:rPr>
          <w:sz w:val="24"/>
          <w:szCs w:val="24"/>
          <w:lang w:val="es-MX"/>
        </w:rPr>
        <w:t>.</w:t>
      </w:r>
    </w:p>
    <w:p w14:paraId="2536C26E" w14:textId="77777777" w:rsidR="00A321F9" w:rsidRDefault="00A321F9" w:rsidP="00A321F9">
      <w:pPr>
        <w:spacing w:after="0"/>
        <w:jc w:val="both"/>
        <w:rPr>
          <w:sz w:val="24"/>
          <w:szCs w:val="24"/>
          <w:lang w:val="es-MX"/>
        </w:rPr>
      </w:pPr>
    </w:p>
    <w:p w14:paraId="40CDAEAF" w14:textId="43086030" w:rsidR="00A321F9" w:rsidRDefault="00A321F9" w:rsidP="00A321F9">
      <w:pPr>
        <w:spacing w:after="0"/>
        <w:jc w:val="both"/>
        <w:rPr>
          <w:sz w:val="24"/>
          <w:szCs w:val="24"/>
          <w:lang w:val="es-MX"/>
        </w:rPr>
      </w:pPr>
      <w:r w:rsidRPr="00713086">
        <w:rPr>
          <w:sz w:val="24"/>
          <w:szCs w:val="24"/>
          <w:lang w:val="es-MX"/>
        </w:rPr>
        <w:t xml:space="preserve">Por su parte, </w:t>
      </w:r>
      <w:r>
        <w:rPr>
          <w:b/>
          <w:bCs/>
          <w:sz w:val="24"/>
          <w:szCs w:val="24"/>
          <w:lang w:val="es-MX"/>
        </w:rPr>
        <w:t>Entel</w:t>
      </w:r>
      <w:r w:rsidRPr="006F1BBD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también mostró una tendencia estable respecto al mes anterior con una diferencia de menos de 50 líneas</w:t>
      </w:r>
      <w:r w:rsidRPr="006F1BBD">
        <w:rPr>
          <w:sz w:val="24"/>
          <w:szCs w:val="24"/>
          <w:lang w:val="es-MX"/>
        </w:rPr>
        <w:t xml:space="preserve"> (-42 líneas), lo que refleja estabilidad de su base de clientes y una competencia muy ajustada.</w:t>
      </w:r>
      <w:r>
        <w:rPr>
          <w:sz w:val="24"/>
          <w:szCs w:val="24"/>
          <w:lang w:val="es-MX"/>
        </w:rPr>
        <w:t xml:space="preserve"> Movistar, en cambio, sigue registrando pérdidas netas </w:t>
      </w:r>
      <w:r w:rsidRPr="006F1BBD">
        <w:rPr>
          <w:sz w:val="24"/>
          <w:szCs w:val="24"/>
          <w:lang w:val="es-MX"/>
        </w:rPr>
        <w:t>(</w:t>
      </w:r>
      <w:r>
        <w:rPr>
          <w:sz w:val="24"/>
          <w:szCs w:val="24"/>
          <w:lang w:val="es-MX"/>
        </w:rPr>
        <w:t>-</w:t>
      </w:r>
      <w:r w:rsidRPr="006F1BBD">
        <w:rPr>
          <w:sz w:val="24"/>
          <w:szCs w:val="24"/>
          <w:lang w:val="es-MX"/>
        </w:rPr>
        <w:t xml:space="preserve">15 075 líneas netas), </w:t>
      </w:r>
      <w:r>
        <w:rPr>
          <w:sz w:val="24"/>
          <w:szCs w:val="24"/>
          <w:lang w:val="es-MX"/>
        </w:rPr>
        <w:t>aunque la</w:t>
      </w:r>
      <w:r>
        <w:rPr>
          <w:sz w:val="24"/>
          <w:szCs w:val="24"/>
          <w:lang w:val="es-MX"/>
        </w:rPr>
        <w:t xml:space="preserve"> cantidad de líneas netas perdidas es </w:t>
      </w:r>
      <w:r w:rsidRPr="006F1BBD">
        <w:rPr>
          <w:sz w:val="24"/>
          <w:szCs w:val="24"/>
          <w:lang w:val="es-MX"/>
        </w:rPr>
        <w:t>menor respecto de meses anteriores</w:t>
      </w:r>
      <w:r>
        <w:rPr>
          <w:sz w:val="24"/>
          <w:szCs w:val="24"/>
          <w:lang w:val="es-MX"/>
        </w:rPr>
        <w:t xml:space="preserve">, lo que sugiere </w:t>
      </w:r>
      <w:r w:rsidRPr="006F1BBD">
        <w:rPr>
          <w:sz w:val="24"/>
          <w:szCs w:val="24"/>
          <w:lang w:val="es-MX"/>
        </w:rPr>
        <w:t xml:space="preserve">una posible desaceleración </w:t>
      </w:r>
      <w:r>
        <w:rPr>
          <w:sz w:val="24"/>
          <w:szCs w:val="24"/>
          <w:lang w:val="es-MX"/>
        </w:rPr>
        <w:t>de la pérdida de</w:t>
      </w:r>
      <w:r w:rsidRPr="006F1BBD">
        <w:rPr>
          <w:sz w:val="24"/>
          <w:szCs w:val="24"/>
          <w:lang w:val="es-MX"/>
        </w:rPr>
        <w:t xml:space="preserve"> clientes.</w:t>
      </w:r>
    </w:p>
    <w:p w14:paraId="2DB3364F" w14:textId="77777777" w:rsidR="00A321F9" w:rsidRDefault="00A321F9" w:rsidP="00A321F9">
      <w:pPr>
        <w:spacing w:after="0"/>
        <w:jc w:val="both"/>
        <w:rPr>
          <w:sz w:val="24"/>
          <w:szCs w:val="24"/>
          <w:lang w:val="es-MX"/>
        </w:rPr>
      </w:pPr>
    </w:p>
    <w:p w14:paraId="16802E8A" w14:textId="77777777" w:rsidR="00A321F9" w:rsidRDefault="00A321F9" w:rsidP="00A321F9">
      <w:pPr>
        <w:spacing w:after="0" w:line="240" w:lineRule="auto"/>
        <w:rPr>
          <w:b/>
          <w:sz w:val="24"/>
          <w:szCs w:val="24"/>
          <w:lang w:val="es-MX"/>
        </w:rPr>
      </w:pPr>
      <w:r w:rsidRPr="00A321F9">
        <w:rPr>
          <w:b/>
          <w:noProof/>
          <w:sz w:val="24"/>
          <w:szCs w:val="24"/>
          <w:lang w:eastAsia="es-PE"/>
        </w:rPr>
        <w:drawing>
          <wp:inline distT="0" distB="0" distL="0" distR="0" wp14:anchorId="35A45A89" wp14:editId="39510BD2">
            <wp:extent cx="5400040" cy="3037523"/>
            <wp:effectExtent l="0" t="0" r="0" b="0"/>
            <wp:docPr id="5" name="Imagen 5" descr="W:\2026\AOCRI - PRENSA\TEMAS\PORTABILIDAD\Abril\_(C)NP-PORTABILIDAD-ABRIL_grafic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2026\AOCRI - PRENSA\TEMAS\PORTABILIDAD\Abril\_(C)NP-PORTABILIDAD-ABRIL_grafico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51A48" w14:textId="77777777" w:rsidR="00A321F9" w:rsidRDefault="00A321F9" w:rsidP="00A321F9">
      <w:pPr>
        <w:spacing w:after="0" w:line="240" w:lineRule="auto"/>
        <w:rPr>
          <w:b/>
          <w:sz w:val="24"/>
          <w:szCs w:val="24"/>
          <w:lang w:val="es-MX"/>
        </w:rPr>
      </w:pPr>
    </w:p>
    <w:p w14:paraId="6DC9B63D" w14:textId="4E86101D" w:rsidR="00A321F9" w:rsidRPr="00713086" w:rsidRDefault="00A321F9" w:rsidP="00A321F9">
      <w:pPr>
        <w:spacing w:after="0" w:line="240" w:lineRule="aut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Portabilidad de líneas fijas</w:t>
      </w:r>
    </w:p>
    <w:p w14:paraId="6E612836" w14:textId="77777777" w:rsidR="00A321F9" w:rsidRDefault="00A321F9" w:rsidP="00A321F9">
      <w:pPr>
        <w:spacing w:after="0" w:line="240" w:lineRule="auto"/>
        <w:jc w:val="both"/>
        <w:rPr>
          <w:sz w:val="24"/>
          <w:szCs w:val="24"/>
          <w:lang w:val="es-MX"/>
        </w:rPr>
      </w:pPr>
      <w:r w:rsidRPr="00713086">
        <w:rPr>
          <w:sz w:val="24"/>
          <w:szCs w:val="24"/>
          <w:lang w:val="es-MX"/>
        </w:rPr>
        <w:t xml:space="preserve">En lo que respecta al número de portaciones en </w:t>
      </w:r>
      <w:r w:rsidRPr="004541A6">
        <w:rPr>
          <w:b/>
          <w:bCs/>
          <w:sz w:val="24"/>
          <w:szCs w:val="24"/>
          <w:lang w:val="es-MX"/>
        </w:rPr>
        <w:t>telefonía fija</w:t>
      </w:r>
      <w:r w:rsidRPr="00713086">
        <w:rPr>
          <w:sz w:val="24"/>
          <w:szCs w:val="24"/>
          <w:lang w:val="es-MX"/>
        </w:rPr>
        <w:t xml:space="preserve">, </w:t>
      </w:r>
      <w:r>
        <w:rPr>
          <w:sz w:val="24"/>
          <w:szCs w:val="24"/>
          <w:lang w:val="es-MX"/>
        </w:rPr>
        <w:t>en abril, 648</w:t>
      </w:r>
      <w:r w:rsidRPr="00713086">
        <w:rPr>
          <w:sz w:val="24"/>
          <w:szCs w:val="24"/>
          <w:lang w:val="es-MX"/>
        </w:rPr>
        <w:t xml:space="preserve"> líneas cambiaron de empresa operadora</w:t>
      </w:r>
      <w:r>
        <w:rPr>
          <w:sz w:val="24"/>
          <w:szCs w:val="24"/>
          <w:lang w:val="es-MX"/>
        </w:rPr>
        <w:t>, lo que significó un retroceso de 73.83 % respecto al mes previo cuando se registraron 2476 portaciones</w:t>
      </w:r>
      <w:r w:rsidRPr="00713086">
        <w:rPr>
          <w:sz w:val="24"/>
          <w:szCs w:val="24"/>
          <w:lang w:val="es-MX"/>
        </w:rPr>
        <w:t xml:space="preserve">. </w:t>
      </w:r>
      <w:r>
        <w:rPr>
          <w:sz w:val="24"/>
          <w:szCs w:val="24"/>
          <w:lang w:val="es-MX"/>
        </w:rPr>
        <w:t xml:space="preserve">Por empresas, </w:t>
      </w:r>
      <w:proofErr w:type="spellStart"/>
      <w:r>
        <w:rPr>
          <w:b/>
          <w:sz w:val="24"/>
          <w:szCs w:val="24"/>
          <w:lang w:val="es-MX"/>
        </w:rPr>
        <w:t>ON</w:t>
      </w:r>
      <w:proofErr w:type="spellEnd"/>
      <w:r>
        <w:rPr>
          <w:b/>
          <w:sz w:val="24"/>
          <w:szCs w:val="24"/>
          <w:lang w:val="es-MX"/>
        </w:rPr>
        <w:t xml:space="preserve"> Empresas</w:t>
      </w:r>
      <w:r w:rsidRPr="00713086">
        <w:rPr>
          <w:sz w:val="24"/>
          <w:szCs w:val="24"/>
          <w:lang w:val="es-MX"/>
        </w:rPr>
        <w:t xml:space="preserve"> obtuvo el mayor saldo neto positivo </w:t>
      </w:r>
      <w:r>
        <w:rPr>
          <w:sz w:val="24"/>
          <w:szCs w:val="24"/>
          <w:lang w:val="es-MX"/>
        </w:rPr>
        <w:t>con 110</w:t>
      </w:r>
      <w:r w:rsidRPr="00713086">
        <w:rPr>
          <w:sz w:val="24"/>
          <w:szCs w:val="24"/>
          <w:lang w:val="es-MX"/>
        </w:rPr>
        <w:t xml:space="preserve"> líneas, mientras que </w:t>
      </w:r>
      <w:r>
        <w:rPr>
          <w:sz w:val="24"/>
          <w:szCs w:val="24"/>
          <w:lang w:val="es-MX"/>
        </w:rPr>
        <w:t>Movistar registró el mayor saldo neto negativo con 324</w:t>
      </w:r>
      <w:r w:rsidRPr="00713086">
        <w:rPr>
          <w:sz w:val="24"/>
          <w:szCs w:val="24"/>
          <w:lang w:val="es-MX"/>
        </w:rPr>
        <w:t xml:space="preserve"> líneas.</w:t>
      </w:r>
    </w:p>
    <w:p w14:paraId="205088BE" w14:textId="77777777" w:rsidR="00A321F9" w:rsidRDefault="00A321F9" w:rsidP="00A321F9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4C9AB4DE" w14:textId="77777777" w:rsidR="00A321F9" w:rsidRPr="00713086" w:rsidRDefault="00A321F9" w:rsidP="00A321F9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Las cifras muestran la </w:t>
      </w:r>
      <w:r w:rsidRPr="006F1BBD">
        <w:rPr>
          <w:sz w:val="24"/>
          <w:szCs w:val="24"/>
          <w:lang w:val="es-MX"/>
        </w:rPr>
        <w:t xml:space="preserve">consolidación del </w:t>
      </w:r>
      <w:proofErr w:type="spellStart"/>
      <w:r w:rsidRPr="006F1BBD">
        <w:rPr>
          <w:sz w:val="24"/>
          <w:szCs w:val="24"/>
          <w:lang w:val="es-MX"/>
        </w:rPr>
        <w:t>pospago</w:t>
      </w:r>
      <w:proofErr w:type="spellEnd"/>
      <w:r w:rsidRPr="006F1BBD">
        <w:rPr>
          <w:sz w:val="24"/>
          <w:szCs w:val="24"/>
          <w:lang w:val="es-MX"/>
        </w:rPr>
        <w:t xml:space="preserve"> como eje central de competencia</w:t>
      </w:r>
      <w:r>
        <w:rPr>
          <w:sz w:val="24"/>
          <w:szCs w:val="24"/>
          <w:lang w:val="es-MX"/>
        </w:rPr>
        <w:t xml:space="preserve"> y la c</w:t>
      </w:r>
      <w:r w:rsidRPr="006F1BBD">
        <w:rPr>
          <w:sz w:val="24"/>
          <w:szCs w:val="24"/>
          <w:lang w:val="es-MX"/>
        </w:rPr>
        <w:t>reciente importancia de estrategias de fidelización y experiencia de usuario</w:t>
      </w:r>
      <w:r>
        <w:rPr>
          <w:sz w:val="24"/>
          <w:szCs w:val="24"/>
          <w:lang w:val="es-MX"/>
        </w:rPr>
        <w:t xml:space="preserve">. </w:t>
      </w:r>
    </w:p>
    <w:p w14:paraId="66198C4D" w14:textId="77777777" w:rsidR="00A321F9" w:rsidRPr="00713086" w:rsidRDefault="00A321F9" w:rsidP="00A321F9">
      <w:pPr>
        <w:spacing w:after="0" w:line="240" w:lineRule="auto"/>
        <w:rPr>
          <w:sz w:val="24"/>
          <w:szCs w:val="24"/>
          <w:lang w:val="es-MX"/>
        </w:rPr>
      </w:pPr>
    </w:p>
    <w:p w14:paraId="7D285623" w14:textId="21BF9E50" w:rsidR="00A321F9" w:rsidRDefault="00A321F9" w:rsidP="00A321F9">
      <w:pPr>
        <w:spacing w:after="0" w:line="240" w:lineRule="auto"/>
        <w:jc w:val="right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Lima, 11</w:t>
      </w:r>
      <w:r>
        <w:rPr>
          <w:b/>
          <w:sz w:val="24"/>
          <w:szCs w:val="24"/>
          <w:lang w:val="es-MX"/>
        </w:rPr>
        <w:t xml:space="preserve"> de mayo de 2026</w:t>
      </w:r>
    </w:p>
    <w:p w14:paraId="0F7D79B3" w14:textId="77777777" w:rsidR="00A321F9" w:rsidRPr="00A36B6D" w:rsidRDefault="00A321F9" w:rsidP="00A321F9">
      <w:pPr>
        <w:rPr>
          <w:sz w:val="24"/>
          <w:szCs w:val="24"/>
          <w:lang w:val="es-MX"/>
        </w:rPr>
      </w:pPr>
    </w:p>
    <w:p w14:paraId="5BB27A9A" w14:textId="77777777" w:rsidR="00A321F9" w:rsidRPr="00A36B6D" w:rsidRDefault="00A321F9" w:rsidP="00A321F9">
      <w:pPr>
        <w:rPr>
          <w:sz w:val="24"/>
          <w:szCs w:val="24"/>
          <w:lang w:val="es-MX"/>
        </w:rPr>
      </w:pPr>
    </w:p>
    <w:p w14:paraId="12C372ED" w14:textId="77777777" w:rsidR="0084796E" w:rsidRDefault="0084796E" w:rsidP="0084796E">
      <w:pPr>
        <w:rPr>
          <w:lang w:val="es-MX"/>
        </w:rPr>
      </w:pPr>
    </w:p>
    <w:p w14:paraId="0719371E" w14:textId="7A531B61" w:rsidR="000549E7" w:rsidRPr="008903E3" w:rsidRDefault="000549E7" w:rsidP="0084796E">
      <w:pPr>
        <w:spacing w:after="0" w:line="240" w:lineRule="auto"/>
        <w:jc w:val="center"/>
        <w:rPr>
          <w:b/>
        </w:rPr>
      </w:pPr>
    </w:p>
    <w:sectPr w:rsidR="000549E7" w:rsidRPr="008903E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C133F" w14:textId="77777777" w:rsidR="00847809" w:rsidRDefault="00847809" w:rsidP="0015184D">
      <w:pPr>
        <w:spacing w:after="0" w:line="240" w:lineRule="auto"/>
      </w:pPr>
      <w:r>
        <w:separator/>
      </w:r>
    </w:p>
  </w:endnote>
  <w:endnote w:type="continuationSeparator" w:id="0">
    <w:p w14:paraId="4C79DB5B" w14:textId="77777777" w:rsidR="00847809" w:rsidRDefault="00847809" w:rsidP="001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1AD00" w14:textId="206B6C90" w:rsidR="00904750" w:rsidRDefault="0090475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430A6C8" wp14:editId="10F6692D">
          <wp:simplePos x="0" y="0"/>
          <wp:positionH relativeFrom="page">
            <wp:posOffset>-5715</wp:posOffset>
          </wp:positionH>
          <wp:positionV relativeFrom="paragraph">
            <wp:posOffset>-333375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1F375" w14:textId="77777777" w:rsidR="00847809" w:rsidRDefault="00847809" w:rsidP="0015184D">
      <w:pPr>
        <w:spacing w:after="0" w:line="240" w:lineRule="auto"/>
      </w:pPr>
      <w:r>
        <w:separator/>
      </w:r>
    </w:p>
  </w:footnote>
  <w:footnote w:type="continuationSeparator" w:id="0">
    <w:p w14:paraId="18DCE0F4" w14:textId="77777777" w:rsidR="00847809" w:rsidRDefault="00847809" w:rsidP="001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81428" w14:textId="77DBC277" w:rsidR="0015184D" w:rsidRDefault="001518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4C058B9" wp14:editId="3CF93057">
          <wp:simplePos x="0" y="0"/>
          <wp:positionH relativeFrom="page">
            <wp:posOffset>-234315</wp:posOffset>
          </wp:positionH>
          <wp:positionV relativeFrom="paragraph">
            <wp:posOffset>-505460</wp:posOffset>
          </wp:positionV>
          <wp:extent cx="7581264" cy="944880"/>
          <wp:effectExtent l="0" t="0" r="127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4C3"/>
    <w:multiLevelType w:val="hybridMultilevel"/>
    <w:tmpl w:val="9B82592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4B74"/>
    <w:multiLevelType w:val="hybridMultilevel"/>
    <w:tmpl w:val="E918DC6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A2565"/>
    <w:multiLevelType w:val="hybridMultilevel"/>
    <w:tmpl w:val="8246518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73DFF"/>
    <w:multiLevelType w:val="hybridMultilevel"/>
    <w:tmpl w:val="39C6F0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097C0DE1"/>
    <w:multiLevelType w:val="hybridMultilevel"/>
    <w:tmpl w:val="2E249F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86578"/>
    <w:multiLevelType w:val="hybridMultilevel"/>
    <w:tmpl w:val="D892F2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02855"/>
    <w:multiLevelType w:val="hybridMultilevel"/>
    <w:tmpl w:val="E810713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2F48105A"/>
    <w:multiLevelType w:val="hybridMultilevel"/>
    <w:tmpl w:val="FEEE9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4175"/>
    <w:multiLevelType w:val="hybridMultilevel"/>
    <w:tmpl w:val="C6F42D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B2146"/>
    <w:multiLevelType w:val="hybridMultilevel"/>
    <w:tmpl w:val="4724A98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5BCE24A8"/>
    <w:multiLevelType w:val="hybridMultilevel"/>
    <w:tmpl w:val="DE923B9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E72806"/>
    <w:multiLevelType w:val="hybridMultilevel"/>
    <w:tmpl w:val="519A1A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E97900"/>
    <w:multiLevelType w:val="hybridMultilevel"/>
    <w:tmpl w:val="792E4F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64475266"/>
    <w:multiLevelType w:val="hybridMultilevel"/>
    <w:tmpl w:val="B442C61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D75420A"/>
    <w:multiLevelType w:val="hybridMultilevel"/>
    <w:tmpl w:val="678A8012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  <w:num w:numId="11">
    <w:abstractNumId w:val="14"/>
  </w:num>
  <w:num w:numId="12">
    <w:abstractNumId w:val="5"/>
  </w:num>
  <w:num w:numId="13">
    <w:abstractNumId w:val="0"/>
  </w:num>
  <w:num w:numId="14">
    <w:abstractNumId w:val="4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0B"/>
    <w:rsid w:val="0000504D"/>
    <w:rsid w:val="00011B51"/>
    <w:rsid w:val="000147FB"/>
    <w:rsid w:val="00027CF3"/>
    <w:rsid w:val="0004502F"/>
    <w:rsid w:val="00051CFD"/>
    <w:rsid w:val="000549E7"/>
    <w:rsid w:val="00055F03"/>
    <w:rsid w:val="000622E3"/>
    <w:rsid w:val="000672ED"/>
    <w:rsid w:val="00074306"/>
    <w:rsid w:val="00076A32"/>
    <w:rsid w:val="00085BCF"/>
    <w:rsid w:val="000A6443"/>
    <w:rsid w:val="000B589A"/>
    <w:rsid w:val="000D098A"/>
    <w:rsid w:val="000D7FD8"/>
    <w:rsid w:val="000E25D0"/>
    <w:rsid w:val="00100DBA"/>
    <w:rsid w:val="0010553B"/>
    <w:rsid w:val="00105CAD"/>
    <w:rsid w:val="00107FE9"/>
    <w:rsid w:val="001225A4"/>
    <w:rsid w:val="00123D95"/>
    <w:rsid w:val="00141008"/>
    <w:rsid w:val="0014150D"/>
    <w:rsid w:val="0015184D"/>
    <w:rsid w:val="00167154"/>
    <w:rsid w:val="00177368"/>
    <w:rsid w:val="0018440B"/>
    <w:rsid w:val="001868A6"/>
    <w:rsid w:val="001903DB"/>
    <w:rsid w:val="00192FB5"/>
    <w:rsid w:val="001A75E7"/>
    <w:rsid w:val="001D1E35"/>
    <w:rsid w:val="001E04F1"/>
    <w:rsid w:val="001F3736"/>
    <w:rsid w:val="0020024C"/>
    <w:rsid w:val="00226802"/>
    <w:rsid w:val="00253311"/>
    <w:rsid w:val="00265AA9"/>
    <w:rsid w:val="00283A6C"/>
    <w:rsid w:val="0028498F"/>
    <w:rsid w:val="0029215D"/>
    <w:rsid w:val="002A14D9"/>
    <w:rsid w:val="002C5BC3"/>
    <w:rsid w:val="002F122F"/>
    <w:rsid w:val="00321AC4"/>
    <w:rsid w:val="0033543B"/>
    <w:rsid w:val="00355F03"/>
    <w:rsid w:val="00362545"/>
    <w:rsid w:val="00383BFA"/>
    <w:rsid w:val="00386A57"/>
    <w:rsid w:val="00397107"/>
    <w:rsid w:val="003A6C4C"/>
    <w:rsid w:val="003A77FD"/>
    <w:rsid w:val="003B0539"/>
    <w:rsid w:val="003C7EC3"/>
    <w:rsid w:val="003D5D6A"/>
    <w:rsid w:val="003E3EEF"/>
    <w:rsid w:val="003F46D0"/>
    <w:rsid w:val="004060E6"/>
    <w:rsid w:val="00423ADF"/>
    <w:rsid w:val="0042601D"/>
    <w:rsid w:val="004500E3"/>
    <w:rsid w:val="00451803"/>
    <w:rsid w:val="00454028"/>
    <w:rsid w:val="0047144A"/>
    <w:rsid w:val="00492C8F"/>
    <w:rsid w:val="00494BB6"/>
    <w:rsid w:val="004B16E1"/>
    <w:rsid w:val="004B26D6"/>
    <w:rsid w:val="004C0923"/>
    <w:rsid w:val="004D355A"/>
    <w:rsid w:val="004E2B06"/>
    <w:rsid w:val="005026A6"/>
    <w:rsid w:val="00512F27"/>
    <w:rsid w:val="0052190C"/>
    <w:rsid w:val="00527157"/>
    <w:rsid w:val="005367FD"/>
    <w:rsid w:val="00545EE2"/>
    <w:rsid w:val="00552378"/>
    <w:rsid w:val="00553636"/>
    <w:rsid w:val="0058469C"/>
    <w:rsid w:val="0059274F"/>
    <w:rsid w:val="0059685C"/>
    <w:rsid w:val="005A29B4"/>
    <w:rsid w:val="005B2300"/>
    <w:rsid w:val="005B63AC"/>
    <w:rsid w:val="005D7F40"/>
    <w:rsid w:val="005E7470"/>
    <w:rsid w:val="005F7A7A"/>
    <w:rsid w:val="00605DDA"/>
    <w:rsid w:val="00620F8F"/>
    <w:rsid w:val="0065212F"/>
    <w:rsid w:val="00675758"/>
    <w:rsid w:val="006C1206"/>
    <w:rsid w:val="006D55B9"/>
    <w:rsid w:val="006F64A4"/>
    <w:rsid w:val="006F6F68"/>
    <w:rsid w:val="007248E9"/>
    <w:rsid w:val="007429DF"/>
    <w:rsid w:val="007633C7"/>
    <w:rsid w:val="00766BFF"/>
    <w:rsid w:val="0078477F"/>
    <w:rsid w:val="00792565"/>
    <w:rsid w:val="0079413B"/>
    <w:rsid w:val="0079676B"/>
    <w:rsid w:val="00797050"/>
    <w:rsid w:val="007B694C"/>
    <w:rsid w:val="007C133A"/>
    <w:rsid w:val="007C6866"/>
    <w:rsid w:val="007C7236"/>
    <w:rsid w:val="007D3392"/>
    <w:rsid w:val="007E5008"/>
    <w:rsid w:val="007F2620"/>
    <w:rsid w:val="00805309"/>
    <w:rsid w:val="008219BC"/>
    <w:rsid w:val="00834AAC"/>
    <w:rsid w:val="008356DE"/>
    <w:rsid w:val="00835EBC"/>
    <w:rsid w:val="0084173B"/>
    <w:rsid w:val="00841ECF"/>
    <w:rsid w:val="00847809"/>
    <w:rsid w:val="0084796E"/>
    <w:rsid w:val="00876AA8"/>
    <w:rsid w:val="008903E3"/>
    <w:rsid w:val="00891B25"/>
    <w:rsid w:val="008B137B"/>
    <w:rsid w:val="008F3E1D"/>
    <w:rsid w:val="00904750"/>
    <w:rsid w:val="0093786A"/>
    <w:rsid w:val="009378D3"/>
    <w:rsid w:val="00943397"/>
    <w:rsid w:val="00967AEB"/>
    <w:rsid w:val="00980AB1"/>
    <w:rsid w:val="009A3A04"/>
    <w:rsid w:val="009A5553"/>
    <w:rsid w:val="009C5801"/>
    <w:rsid w:val="009D3F92"/>
    <w:rsid w:val="009E6962"/>
    <w:rsid w:val="00A028E8"/>
    <w:rsid w:val="00A05B97"/>
    <w:rsid w:val="00A05D8D"/>
    <w:rsid w:val="00A22642"/>
    <w:rsid w:val="00A321F9"/>
    <w:rsid w:val="00A33ABA"/>
    <w:rsid w:val="00A3568A"/>
    <w:rsid w:val="00A357D5"/>
    <w:rsid w:val="00A544EA"/>
    <w:rsid w:val="00A67C60"/>
    <w:rsid w:val="00A714EC"/>
    <w:rsid w:val="00A75C0F"/>
    <w:rsid w:val="00AE1B5B"/>
    <w:rsid w:val="00AF23C0"/>
    <w:rsid w:val="00B051B0"/>
    <w:rsid w:val="00B278C6"/>
    <w:rsid w:val="00B356AE"/>
    <w:rsid w:val="00B43BD5"/>
    <w:rsid w:val="00BE0E41"/>
    <w:rsid w:val="00BE1499"/>
    <w:rsid w:val="00BE729C"/>
    <w:rsid w:val="00BF454E"/>
    <w:rsid w:val="00BF6BAE"/>
    <w:rsid w:val="00C00FFD"/>
    <w:rsid w:val="00C6119B"/>
    <w:rsid w:val="00C662C3"/>
    <w:rsid w:val="00C74021"/>
    <w:rsid w:val="00C809C3"/>
    <w:rsid w:val="00C93B98"/>
    <w:rsid w:val="00C94719"/>
    <w:rsid w:val="00CA3A02"/>
    <w:rsid w:val="00CB169A"/>
    <w:rsid w:val="00CB531C"/>
    <w:rsid w:val="00CB6F61"/>
    <w:rsid w:val="00D617C4"/>
    <w:rsid w:val="00D71B8F"/>
    <w:rsid w:val="00DA77DA"/>
    <w:rsid w:val="00DB6F9C"/>
    <w:rsid w:val="00DC623B"/>
    <w:rsid w:val="00DD4543"/>
    <w:rsid w:val="00DE5310"/>
    <w:rsid w:val="00DF4480"/>
    <w:rsid w:val="00DF5E4A"/>
    <w:rsid w:val="00E05D00"/>
    <w:rsid w:val="00E06CE5"/>
    <w:rsid w:val="00E1366E"/>
    <w:rsid w:val="00E159D3"/>
    <w:rsid w:val="00E511CE"/>
    <w:rsid w:val="00E627E5"/>
    <w:rsid w:val="00E80FFA"/>
    <w:rsid w:val="00E84973"/>
    <w:rsid w:val="00E90245"/>
    <w:rsid w:val="00E94765"/>
    <w:rsid w:val="00EE2139"/>
    <w:rsid w:val="00EF40D1"/>
    <w:rsid w:val="00EF6237"/>
    <w:rsid w:val="00EF7DD7"/>
    <w:rsid w:val="00F050CC"/>
    <w:rsid w:val="00F2783A"/>
    <w:rsid w:val="00F45480"/>
    <w:rsid w:val="00F622E2"/>
    <w:rsid w:val="00F6702A"/>
    <w:rsid w:val="00F67852"/>
    <w:rsid w:val="00FD1312"/>
    <w:rsid w:val="00FD3F21"/>
    <w:rsid w:val="00FE32D4"/>
    <w:rsid w:val="00FE4B43"/>
    <w:rsid w:val="00FE5B07"/>
    <w:rsid w:val="00FF2A9F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2480"/>
  <w15:chartTrackingRefBased/>
  <w15:docId w15:val="{8081DB50-FD9A-4206-ABD7-72C2E1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8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 normal,Párrafo de lista1,Nota a pie,List Paragraph1,Cuadro 2-1,Párrafo de lista2,Titulo 1,Footnote,Lista vistosa - Énfasis 11,Ha,SUBTITU MEMO,Lista 123,List Paragraph,Numeracion iniciativas,ASPECTOS GENERALES,P,paul2,TITULO A"/>
    <w:basedOn w:val="Normal"/>
    <w:link w:val="PrrafodelistaCar"/>
    <w:uiPriority w:val="34"/>
    <w:qFormat/>
    <w:rsid w:val="001844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84D"/>
  </w:style>
  <w:style w:type="paragraph" w:styleId="Piedepgina">
    <w:name w:val="footer"/>
    <w:basedOn w:val="Normal"/>
    <w:link w:val="Piedepgina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84D"/>
  </w:style>
  <w:style w:type="paragraph" w:styleId="NormalWeb">
    <w:name w:val="Normal (Web)"/>
    <w:basedOn w:val="Normal"/>
    <w:uiPriority w:val="99"/>
    <w:unhideWhenUsed/>
    <w:rsid w:val="00BF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265AA9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C5BC3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E1499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1499"/>
    <w:rPr>
      <w:sz w:val="20"/>
      <w:szCs w:val="20"/>
      <w:lang w:val="es-ES"/>
    </w:rPr>
  </w:style>
  <w:style w:type="character" w:customStyle="1" w:styleId="selectable-text">
    <w:name w:val="selectable-text"/>
    <w:basedOn w:val="Fuentedeprrafopredeter"/>
    <w:rsid w:val="00DF448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9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AC4"/>
    <w:rPr>
      <w:color w:val="954F72" w:themeColor="followedHyperlink"/>
      <w:u w:val="single"/>
    </w:rPr>
  </w:style>
  <w:style w:type="character" w:customStyle="1" w:styleId="PrrafodelistaCar">
    <w:name w:val="Párrafo de lista Car"/>
    <w:aliases w:val="Viñeta normal Car,Párrafo de lista1 Car,Nota a pie Car,List Paragraph1 Car,Cuadro 2-1 Car,Párrafo de lista2 Car,Titulo 1 Car,Footnote Car,Lista vistosa - Énfasis 11 Car,Ha Car,SUBTITU MEMO Car,Lista 123 Car,List Paragraph Car,P Car"/>
    <w:basedOn w:val="Fuentedeprrafopredeter"/>
    <w:link w:val="Prrafodelista"/>
    <w:uiPriority w:val="34"/>
    <w:qFormat/>
    <w:rsid w:val="0020024C"/>
  </w:style>
  <w:style w:type="character" w:customStyle="1" w:styleId="aupe">
    <w:name w:val="_aupe"/>
    <w:basedOn w:val="Fuentedeprrafopredeter"/>
    <w:rsid w:val="001F3736"/>
  </w:style>
  <w:style w:type="paragraph" w:styleId="Textocomentario">
    <w:name w:val="annotation text"/>
    <w:basedOn w:val="Normal"/>
    <w:link w:val="TextocomentarioCar"/>
    <w:uiPriority w:val="99"/>
    <w:unhideWhenUsed/>
    <w:rsid w:val="00A05D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D8D"/>
    <w:rPr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2264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9413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122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b.pe/institucion/osiptel/noticias/1377174-osiptel-portabilidad-movil-repunta-y-mas-de-536-000-lineas-cambiaron-de-empresa-operadora-en-marz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Herrera Villanueva</dc:creator>
  <cp:keywords/>
  <dc:description/>
  <cp:lastModifiedBy>Omar Herrera Villanueva</cp:lastModifiedBy>
  <cp:revision>2</cp:revision>
  <dcterms:created xsi:type="dcterms:W3CDTF">2026-05-08T23:05:00Z</dcterms:created>
  <dcterms:modified xsi:type="dcterms:W3CDTF">2026-05-08T23:05:00Z</dcterms:modified>
</cp:coreProperties>
</file>