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4B326" w14:textId="1A1E774D" w:rsidR="005367FD" w:rsidRPr="00A714EC" w:rsidRDefault="0015184D" w:rsidP="00834AAC">
      <w:pPr>
        <w:spacing w:after="0" w:line="240" w:lineRule="auto"/>
        <w:jc w:val="center"/>
        <w:rPr>
          <w:rFonts w:ascii="Calibri" w:hAnsi="Calibri" w:cs="Calibri"/>
          <w:b/>
          <w:sz w:val="30"/>
          <w:szCs w:val="30"/>
          <w:u w:val="single"/>
          <w:lang w:val="es-MX"/>
        </w:rPr>
      </w:pPr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 xml:space="preserve">NOTA DE PRENSA </w:t>
      </w:r>
      <w:proofErr w:type="spellStart"/>
      <w:r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N.</w:t>
      </w:r>
      <w:r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>o</w:t>
      </w:r>
      <w:proofErr w:type="spellEnd"/>
      <w:r w:rsidR="000147FB" w:rsidRPr="00A714EC">
        <w:rPr>
          <w:rFonts w:ascii="Calibri" w:hAnsi="Calibri" w:cs="Calibri"/>
          <w:b/>
          <w:sz w:val="30"/>
          <w:szCs w:val="30"/>
          <w:u w:val="single"/>
          <w:vertAlign w:val="superscript"/>
          <w:lang w:val="es-MX"/>
        </w:rPr>
        <w:t xml:space="preserve"> </w:t>
      </w:r>
      <w:r w:rsidR="007D3392">
        <w:rPr>
          <w:rFonts w:ascii="Calibri" w:hAnsi="Calibri" w:cs="Calibri"/>
          <w:b/>
          <w:sz w:val="30"/>
          <w:szCs w:val="30"/>
          <w:u w:val="single"/>
          <w:lang w:val="es-MX"/>
        </w:rPr>
        <w:t>2</w:t>
      </w:r>
      <w:r w:rsidR="009A3A04">
        <w:rPr>
          <w:rFonts w:ascii="Calibri" w:hAnsi="Calibri" w:cs="Calibri"/>
          <w:b/>
          <w:sz w:val="30"/>
          <w:szCs w:val="30"/>
          <w:u w:val="single"/>
          <w:lang w:val="es-MX"/>
        </w:rPr>
        <w:t>4</w:t>
      </w:r>
      <w:r w:rsidR="007E5008" w:rsidRPr="00A714EC">
        <w:rPr>
          <w:rFonts w:ascii="Calibri" w:hAnsi="Calibri" w:cs="Calibri"/>
          <w:b/>
          <w:sz w:val="30"/>
          <w:szCs w:val="30"/>
          <w:u w:val="single"/>
          <w:lang w:val="es-MX"/>
        </w:rPr>
        <w:t>-2026</w:t>
      </w:r>
    </w:p>
    <w:p w14:paraId="68BE56D1" w14:textId="387E948E" w:rsidR="009A3A04" w:rsidRPr="00196C1C" w:rsidRDefault="009A3A04" w:rsidP="009A3A04">
      <w:pPr>
        <w:jc w:val="center"/>
        <w:rPr>
          <w:rFonts w:cstheme="minorHAnsi"/>
          <w:b/>
          <w:sz w:val="28"/>
        </w:rPr>
      </w:pPr>
      <w:r w:rsidRPr="00196C1C">
        <w:rPr>
          <w:rFonts w:cstheme="minorHAnsi"/>
          <w:b/>
          <w:sz w:val="28"/>
        </w:rPr>
        <w:t xml:space="preserve">OSIPTEL abre consulta </w:t>
      </w:r>
      <w:r>
        <w:rPr>
          <w:rFonts w:cstheme="minorHAnsi"/>
          <w:b/>
          <w:sz w:val="28"/>
        </w:rPr>
        <w:t xml:space="preserve">pública </w:t>
      </w:r>
      <w:r w:rsidRPr="00196C1C">
        <w:rPr>
          <w:rFonts w:cstheme="minorHAnsi"/>
          <w:b/>
          <w:sz w:val="28"/>
        </w:rPr>
        <w:t xml:space="preserve">temprana para diseñar marco normativo </w:t>
      </w:r>
      <w:r>
        <w:rPr>
          <w:rFonts w:cstheme="minorHAnsi"/>
          <w:b/>
          <w:sz w:val="28"/>
        </w:rPr>
        <w:t>de implementación</w:t>
      </w:r>
      <w:r w:rsidRPr="00196C1C">
        <w:rPr>
          <w:rFonts w:cstheme="minorHAnsi"/>
          <w:b/>
          <w:sz w:val="28"/>
        </w:rPr>
        <w:t xml:space="preserve"> del </w:t>
      </w:r>
      <w:proofErr w:type="spellStart"/>
      <w:r w:rsidRPr="00196C1C">
        <w:rPr>
          <w:rFonts w:cstheme="minorHAnsi"/>
          <w:b/>
          <w:sz w:val="28"/>
        </w:rPr>
        <w:t>sandbox</w:t>
      </w:r>
      <w:proofErr w:type="spellEnd"/>
      <w:r w:rsidRPr="00196C1C">
        <w:rPr>
          <w:rFonts w:cstheme="minorHAnsi"/>
          <w:b/>
          <w:sz w:val="28"/>
        </w:rPr>
        <w:t xml:space="preserve"> regulatorio en telecomunicaciones</w:t>
      </w:r>
    </w:p>
    <w:p w14:paraId="40DEA5FA" w14:textId="77777777" w:rsidR="009A3A04" w:rsidRDefault="009A3A04" w:rsidP="009A3A04">
      <w:pPr>
        <w:pStyle w:val="Prrafodelista"/>
        <w:numPr>
          <w:ilvl w:val="0"/>
          <w:numId w:val="35"/>
        </w:numPr>
        <w:spacing w:after="196" w:line="262" w:lineRule="auto"/>
        <w:jc w:val="both"/>
        <w:rPr>
          <w:rFonts w:cstheme="minorHAnsi"/>
          <w:sz w:val="24"/>
        </w:rPr>
      </w:pPr>
      <w:r w:rsidRPr="00196C1C">
        <w:rPr>
          <w:rFonts w:cstheme="minorHAnsi"/>
          <w:sz w:val="24"/>
        </w:rPr>
        <w:t xml:space="preserve">Los interesados </w:t>
      </w:r>
      <w:r>
        <w:rPr>
          <w:rFonts w:cstheme="minorHAnsi"/>
          <w:sz w:val="24"/>
        </w:rPr>
        <w:t xml:space="preserve">pueden </w:t>
      </w:r>
      <w:r w:rsidRPr="00196C1C">
        <w:rPr>
          <w:rFonts w:cstheme="minorHAnsi"/>
          <w:sz w:val="24"/>
        </w:rPr>
        <w:t>remitir sus respuestas a las preguntas planteadas, debidamente sustentadas, hasta el 16 de marzo de 2026.</w:t>
      </w:r>
    </w:p>
    <w:p w14:paraId="4E8B3688" w14:textId="61CC3960" w:rsidR="007D3392" w:rsidRPr="008767FB" w:rsidRDefault="007D3392" w:rsidP="0010553B">
      <w:pPr>
        <w:pStyle w:val="Prrafodelista"/>
        <w:spacing w:after="0" w:line="240" w:lineRule="auto"/>
        <w:rPr>
          <w:sz w:val="24"/>
          <w:szCs w:val="24"/>
          <w:lang w:val="es-MX"/>
        </w:rPr>
      </w:pPr>
    </w:p>
    <w:p w14:paraId="340D9EA4" w14:textId="77777777" w:rsidR="009A3A04" w:rsidRDefault="009A3A04" w:rsidP="009A3A04">
      <w:pPr>
        <w:spacing w:after="0" w:line="240" w:lineRule="auto"/>
        <w:jc w:val="both"/>
        <w:rPr>
          <w:rFonts w:cstheme="minorHAnsi"/>
          <w:sz w:val="24"/>
        </w:rPr>
      </w:pPr>
      <w:r w:rsidRPr="00196C1C">
        <w:rPr>
          <w:rFonts w:cstheme="minorHAnsi"/>
          <w:sz w:val="24"/>
        </w:rPr>
        <w:t xml:space="preserve">Con el objetivo de impulsar la innovación </w:t>
      </w:r>
      <w:r>
        <w:rPr>
          <w:rFonts w:cstheme="minorHAnsi"/>
          <w:sz w:val="24"/>
        </w:rPr>
        <w:t>y la mejora de la prestación de los servicios públicos de telecomunicaciones,</w:t>
      </w:r>
      <w:r w:rsidRPr="00196C1C">
        <w:rPr>
          <w:rFonts w:cstheme="minorHAnsi"/>
          <w:sz w:val="24"/>
        </w:rPr>
        <w:t xml:space="preserve"> bajo un entorno seguro y supervisado, el Organismo Supervisor de Inversión Privada en Telecomunicaciones (OSIPTEL) publicó el documento de soporte de la consulta temprana sobre el diseño de un marco normativo para la implementación del </w:t>
      </w:r>
      <w:proofErr w:type="spellStart"/>
      <w:r w:rsidRPr="00196C1C">
        <w:rPr>
          <w:rFonts w:cstheme="minorHAnsi"/>
          <w:sz w:val="24"/>
        </w:rPr>
        <w:t>sandbox</w:t>
      </w:r>
      <w:proofErr w:type="spellEnd"/>
      <w:r w:rsidRPr="00196C1C">
        <w:rPr>
          <w:rFonts w:cstheme="minorHAnsi"/>
          <w:sz w:val="24"/>
        </w:rPr>
        <w:t xml:space="preserve"> regulatorio, a fin de recoger los aportes de empresas, especialistas y ciudadanía</w:t>
      </w:r>
      <w:r>
        <w:rPr>
          <w:rFonts w:cstheme="minorHAnsi"/>
          <w:sz w:val="24"/>
        </w:rPr>
        <w:t xml:space="preserve"> </w:t>
      </w:r>
      <w:r w:rsidRPr="00196C1C">
        <w:rPr>
          <w:rFonts w:cstheme="minorHAnsi"/>
          <w:sz w:val="24"/>
        </w:rPr>
        <w:t>hasta el 16 de marzo de 2026.</w:t>
      </w:r>
    </w:p>
    <w:p w14:paraId="098BCDE0" w14:textId="77777777" w:rsidR="009A3A04" w:rsidRDefault="009A3A04" w:rsidP="009A3A04">
      <w:pPr>
        <w:pStyle w:val="NormalWeb"/>
        <w:spacing w:after="0" w:afterAutospacing="0"/>
        <w:jc w:val="both"/>
        <w:rPr>
          <w:rFonts w:asciiTheme="minorHAnsi" w:hAnsiTheme="minorHAnsi" w:cstheme="minorHAnsi"/>
        </w:rPr>
      </w:pPr>
      <w:r w:rsidRPr="00196C1C">
        <w:rPr>
          <w:rFonts w:asciiTheme="minorHAnsi" w:hAnsiTheme="minorHAnsi" w:cstheme="minorHAnsi"/>
        </w:rPr>
        <w:t xml:space="preserve">El organismo regulador explicó que el </w:t>
      </w:r>
      <w:proofErr w:type="spellStart"/>
      <w:r w:rsidRPr="00196C1C">
        <w:rPr>
          <w:rFonts w:asciiTheme="minorHAnsi" w:hAnsiTheme="minorHAnsi" w:cstheme="minorHAnsi"/>
        </w:rPr>
        <w:t>sandbox</w:t>
      </w:r>
      <w:proofErr w:type="spellEnd"/>
      <w:r w:rsidRPr="00196C1C">
        <w:rPr>
          <w:rFonts w:asciiTheme="minorHAnsi" w:hAnsiTheme="minorHAnsi" w:cstheme="minorHAnsi"/>
        </w:rPr>
        <w:t xml:space="preserve"> regulatorio </w:t>
      </w:r>
      <w:r>
        <w:rPr>
          <w:rFonts w:asciiTheme="minorHAnsi" w:hAnsiTheme="minorHAnsi" w:cstheme="minorHAnsi"/>
        </w:rPr>
        <w:t xml:space="preserve">actúa como un laboratorio </w:t>
      </w:r>
      <w:r w:rsidRPr="00196C1C">
        <w:rPr>
          <w:rFonts w:asciiTheme="minorHAnsi" w:hAnsiTheme="minorHAnsi" w:cstheme="minorHAnsi"/>
        </w:rPr>
        <w:t xml:space="preserve">que permite a las empresas probar </w:t>
      </w:r>
      <w:r>
        <w:rPr>
          <w:rFonts w:asciiTheme="minorHAnsi" w:hAnsiTheme="minorHAnsi" w:cstheme="minorHAnsi"/>
        </w:rPr>
        <w:t xml:space="preserve">nuevos </w:t>
      </w:r>
      <w:r w:rsidRPr="00196C1C">
        <w:rPr>
          <w:rFonts w:asciiTheme="minorHAnsi" w:hAnsiTheme="minorHAnsi" w:cstheme="minorHAnsi"/>
        </w:rPr>
        <w:t xml:space="preserve">productos, servicios o modelos de negocio innovadores en </w:t>
      </w:r>
      <w:r>
        <w:rPr>
          <w:rFonts w:asciiTheme="minorHAnsi" w:hAnsiTheme="minorHAnsi" w:cstheme="minorHAnsi"/>
        </w:rPr>
        <w:t>un entorno</w:t>
      </w:r>
      <w:r w:rsidRPr="00196C1C">
        <w:rPr>
          <w:rFonts w:asciiTheme="minorHAnsi" w:hAnsiTheme="minorHAnsi" w:cstheme="minorHAnsi"/>
        </w:rPr>
        <w:t xml:space="preserve"> controlado y con flexibilidad regulatoria temporal, manteniendo salvaguardas para proteger a los usuarios y garantizar la estabilidad del mercado. </w:t>
      </w:r>
    </w:p>
    <w:p w14:paraId="5365CB1D" w14:textId="77777777" w:rsidR="009A3A04" w:rsidRDefault="009A3A04" w:rsidP="009A3A0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32DEEFB" w14:textId="77777777" w:rsidR="009A3A04" w:rsidRDefault="009A3A04" w:rsidP="009A3A04">
      <w:pPr>
        <w:spacing w:after="0" w:line="240" w:lineRule="auto"/>
        <w:jc w:val="both"/>
        <w:rPr>
          <w:rFonts w:cstheme="minorHAnsi"/>
          <w:sz w:val="24"/>
        </w:rPr>
      </w:pPr>
      <w:r w:rsidRPr="00196C1C">
        <w:rPr>
          <w:rFonts w:cstheme="minorHAnsi"/>
          <w:sz w:val="24"/>
        </w:rPr>
        <w:t xml:space="preserve">El documento señala que, </w:t>
      </w:r>
      <w:r>
        <w:rPr>
          <w:rFonts w:cstheme="minorHAnsi"/>
          <w:sz w:val="24"/>
        </w:rPr>
        <w:t>e</w:t>
      </w:r>
      <w:r w:rsidRPr="00196C1C">
        <w:rPr>
          <w:rFonts w:cstheme="minorHAnsi"/>
          <w:sz w:val="24"/>
        </w:rPr>
        <w:t xml:space="preserve">n América Latina, destaca el caso de Colombia, primer país de la región en implementar un </w:t>
      </w:r>
      <w:proofErr w:type="spellStart"/>
      <w:r w:rsidRPr="00196C1C">
        <w:rPr>
          <w:rFonts w:cstheme="minorHAnsi"/>
          <w:sz w:val="24"/>
        </w:rPr>
        <w:t>sandbox</w:t>
      </w:r>
      <w:proofErr w:type="spellEnd"/>
      <w:r w:rsidRPr="00196C1C">
        <w:rPr>
          <w:rFonts w:cstheme="minorHAnsi"/>
          <w:sz w:val="24"/>
        </w:rPr>
        <w:t xml:space="preserve"> regulatorio en telecomunicaciones, con un esquema que contempla fases de aplicación, evaluación, experimentación y salida, así como criterios </w:t>
      </w:r>
      <w:r>
        <w:rPr>
          <w:rFonts w:cstheme="minorHAnsi"/>
          <w:sz w:val="24"/>
        </w:rPr>
        <w:t>para la</w:t>
      </w:r>
      <w:r w:rsidRPr="00196C1C">
        <w:rPr>
          <w:rFonts w:cstheme="minorHAnsi"/>
          <w:sz w:val="24"/>
        </w:rPr>
        <w:t xml:space="preserve"> selección de proyectos, definición de riesgos, salvaguardas e indicadores de éxito.</w:t>
      </w:r>
      <w:r>
        <w:rPr>
          <w:rFonts w:cstheme="minorHAnsi"/>
          <w:sz w:val="24"/>
        </w:rPr>
        <w:t xml:space="preserve"> </w:t>
      </w:r>
    </w:p>
    <w:p w14:paraId="1435C5B0" w14:textId="77777777" w:rsidR="009A3A04" w:rsidRDefault="009A3A04" w:rsidP="009A3A04">
      <w:pPr>
        <w:spacing w:after="0" w:line="240" w:lineRule="auto"/>
        <w:jc w:val="both"/>
        <w:rPr>
          <w:rFonts w:cstheme="minorHAnsi"/>
          <w:sz w:val="24"/>
        </w:rPr>
      </w:pPr>
    </w:p>
    <w:p w14:paraId="6DEDB4BF" w14:textId="77777777" w:rsidR="009A3A04" w:rsidRDefault="009A3A04" w:rsidP="009A3A04">
      <w:pPr>
        <w:spacing w:after="0" w:line="240" w:lineRule="auto"/>
        <w:jc w:val="both"/>
        <w:rPr>
          <w:rFonts w:cstheme="minorHAnsi"/>
          <w:sz w:val="24"/>
        </w:rPr>
      </w:pPr>
      <w:r w:rsidRPr="00196C1C">
        <w:rPr>
          <w:rFonts w:cstheme="minorHAnsi"/>
          <w:sz w:val="24"/>
        </w:rPr>
        <w:t xml:space="preserve">En el ámbito nacional, el Perú viene incorporando progresivamente el uso de </w:t>
      </w:r>
      <w:proofErr w:type="spellStart"/>
      <w:r w:rsidRPr="00196C1C">
        <w:rPr>
          <w:rFonts w:cstheme="minorHAnsi"/>
          <w:sz w:val="24"/>
        </w:rPr>
        <w:t>sandboxes</w:t>
      </w:r>
      <w:proofErr w:type="spellEnd"/>
      <w:r w:rsidRPr="00196C1C">
        <w:rPr>
          <w:rFonts w:cstheme="minorHAnsi"/>
          <w:sz w:val="24"/>
        </w:rPr>
        <w:t xml:space="preserve"> regulatorios en sectores como el financiero y las telecomunicaciones, lo que evidencia una tendencia hacia </w:t>
      </w:r>
      <w:r>
        <w:rPr>
          <w:rFonts w:cstheme="minorHAnsi"/>
          <w:sz w:val="24"/>
        </w:rPr>
        <w:t xml:space="preserve">la adopción de </w:t>
      </w:r>
      <w:r w:rsidRPr="00196C1C">
        <w:rPr>
          <w:rFonts w:cstheme="minorHAnsi"/>
          <w:sz w:val="24"/>
        </w:rPr>
        <w:t xml:space="preserve">esquemas regulatorios </w:t>
      </w:r>
      <w:r>
        <w:rPr>
          <w:rFonts w:cstheme="minorHAnsi"/>
          <w:sz w:val="24"/>
        </w:rPr>
        <w:t xml:space="preserve">con </w:t>
      </w:r>
      <w:r w:rsidRPr="00196C1C">
        <w:rPr>
          <w:rFonts w:cstheme="minorHAnsi"/>
          <w:sz w:val="24"/>
        </w:rPr>
        <w:t>flexib</w:t>
      </w:r>
      <w:r>
        <w:rPr>
          <w:rFonts w:cstheme="minorHAnsi"/>
          <w:sz w:val="24"/>
        </w:rPr>
        <w:t>ilidad temporal</w:t>
      </w:r>
      <w:r w:rsidRPr="00196C1C">
        <w:rPr>
          <w:rFonts w:cstheme="minorHAnsi"/>
          <w:sz w:val="24"/>
        </w:rPr>
        <w:t xml:space="preserve"> orientados a la innovación. En ese contexto, el OSIPTEL considera </w:t>
      </w:r>
      <w:r>
        <w:rPr>
          <w:rFonts w:cstheme="minorHAnsi"/>
          <w:sz w:val="24"/>
        </w:rPr>
        <w:t>relevante</w:t>
      </w:r>
      <w:r w:rsidRPr="00196C1C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evaluar el diseño de</w:t>
      </w:r>
      <w:r w:rsidRPr="00196C1C">
        <w:rPr>
          <w:rFonts w:cstheme="minorHAnsi"/>
          <w:sz w:val="24"/>
        </w:rPr>
        <w:t xml:space="preserve"> un marco normativo específico que permita a las empresas operadoras desarrollar proyectos de </w:t>
      </w:r>
      <w:r w:rsidRPr="00C66274">
        <w:rPr>
          <w:rFonts w:cstheme="minorHAnsi"/>
          <w:sz w:val="24"/>
        </w:rPr>
        <w:t>innova</w:t>
      </w:r>
      <w:r>
        <w:rPr>
          <w:rFonts w:cstheme="minorHAnsi"/>
          <w:sz w:val="24"/>
        </w:rPr>
        <w:t xml:space="preserve">ción </w:t>
      </w:r>
      <w:r w:rsidRPr="00196C1C">
        <w:rPr>
          <w:rFonts w:cstheme="minorHAnsi"/>
          <w:sz w:val="24"/>
        </w:rPr>
        <w:t xml:space="preserve">bajo </w:t>
      </w:r>
      <w:r>
        <w:rPr>
          <w:rFonts w:cstheme="minorHAnsi"/>
          <w:sz w:val="24"/>
        </w:rPr>
        <w:t xml:space="preserve">la </w:t>
      </w:r>
      <w:r w:rsidRPr="00196C1C">
        <w:rPr>
          <w:rFonts w:cstheme="minorHAnsi"/>
          <w:sz w:val="24"/>
        </w:rPr>
        <w:t>supervisión</w:t>
      </w:r>
      <w:r>
        <w:rPr>
          <w:rFonts w:cstheme="minorHAnsi"/>
          <w:sz w:val="24"/>
        </w:rPr>
        <w:t xml:space="preserve"> del regulador</w:t>
      </w:r>
      <w:r w:rsidRPr="00196C1C">
        <w:rPr>
          <w:rFonts w:cstheme="minorHAnsi"/>
          <w:sz w:val="24"/>
        </w:rPr>
        <w:t>.</w:t>
      </w:r>
    </w:p>
    <w:p w14:paraId="533C02FD" w14:textId="77777777" w:rsidR="009A3A04" w:rsidRDefault="009A3A04" w:rsidP="009A3A04">
      <w:pPr>
        <w:spacing w:after="0" w:line="240" w:lineRule="auto"/>
        <w:jc w:val="both"/>
        <w:rPr>
          <w:rFonts w:cstheme="minorHAnsi"/>
          <w:sz w:val="24"/>
        </w:rPr>
      </w:pPr>
    </w:p>
    <w:p w14:paraId="404B8AA3" w14:textId="77777777" w:rsidR="009A3A04" w:rsidRDefault="009A3A04" w:rsidP="009A3A04">
      <w:pPr>
        <w:spacing w:after="0" w:line="240" w:lineRule="auto"/>
        <w:jc w:val="both"/>
        <w:rPr>
          <w:rFonts w:cstheme="minorHAnsi"/>
          <w:sz w:val="24"/>
        </w:rPr>
      </w:pPr>
      <w:r w:rsidRPr="00C626C5">
        <w:rPr>
          <w:rFonts w:cstheme="minorHAnsi"/>
          <w:sz w:val="24"/>
        </w:rPr>
        <w:t>Como parte de la consulta temprana, el organismo regulador plantea seis preguntas de discusión relacionadas con los aspectos que deberían considerarse en el diseño de</w:t>
      </w:r>
      <w:r>
        <w:rPr>
          <w:rFonts w:cstheme="minorHAnsi"/>
          <w:sz w:val="24"/>
        </w:rPr>
        <w:t xml:space="preserve"> un</w:t>
      </w:r>
      <w:r w:rsidRPr="00C626C5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marco normativo de</w:t>
      </w:r>
      <w:r w:rsidRPr="00C626C5">
        <w:rPr>
          <w:rFonts w:cstheme="minorHAnsi"/>
          <w:sz w:val="24"/>
        </w:rPr>
        <w:t xml:space="preserve"> </w:t>
      </w:r>
      <w:proofErr w:type="spellStart"/>
      <w:r w:rsidRPr="00C626C5">
        <w:rPr>
          <w:rFonts w:cstheme="minorHAnsi"/>
          <w:sz w:val="24"/>
        </w:rPr>
        <w:t>sandbox</w:t>
      </w:r>
      <w:proofErr w:type="spellEnd"/>
      <w:r w:rsidRPr="00C626C5">
        <w:rPr>
          <w:rFonts w:cstheme="minorHAnsi"/>
          <w:sz w:val="24"/>
        </w:rPr>
        <w:t xml:space="preserve"> regulatorio</w:t>
      </w:r>
      <w:r>
        <w:rPr>
          <w:rFonts w:cstheme="minorHAnsi"/>
          <w:sz w:val="24"/>
        </w:rPr>
        <w:t>.</w:t>
      </w:r>
    </w:p>
    <w:p w14:paraId="2D126A2E" w14:textId="77777777" w:rsidR="009A3A04" w:rsidRPr="00C626C5" w:rsidRDefault="009A3A04" w:rsidP="009A3A04">
      <w:pPr>
        <w:spacing w:after="0" w:line="240" w:lineRule="auto"/>
        <w:rPr>
          <w:rFonts w:cstheme="minorHAnsi"/>
          <w:sz w:val="24"/>
        </w:rPr>
      </w:pPr>
    </w:p>
    <w:p w14:paraId="36802DD2" w14:textId="77777777" w:rsidR="009A3A04" w:rsidRDefault="009A3A04" w:rsidP="009A3A04">
      <w:pPr>
        <w:jc w:val="both"/>
        <w:rPr>
          <w:rFonts w:cstheme="minorHAnsi"/>
          <w:sz w:val="24"/>
        </w:rPr>
      </w:pPr>
      <w:r w:rsidRPr="00C626C5">
        <w:rPr>
          <w:rFonts w:cstheme="minorHAnsi"/>
          <w:sz w:val="24"/>
        </w:rPr>
        <w:t>En esa línea, el OSIPTEL invit</w:t>
      </w:r>
      <w:r>
        <w:rPr>
          <w:rFonts w:cstheme="minorHAnsi"/>
          <w:sz w:val="24"/>
        </w:rPr>
        <w:t>a</w:t>
      </w:r>
      <w:r w:rsidRPr="00C626C5">
        <w:rPr>
          <w:rFonts w:cstheme="minorHAnsi"/>
          <w:sz w:val="24"/>
        </w:rPr>
        <w:t xml:space="preserve"> a los interesados a remitir sus respuestas</w:t>
      </w:r>
      <w:r>
        <w:rPr>
          <w:rFonts w:cstheme="minorHAnsi"/>
          <w:sz w:val="24"/>
        </w:rPr>
        <w:t>,</w:t>
      </w:r>
      <w:r w:rsidRPr="00C626C5">
        <w:rPr>
          <w:rFonts w:cstheme="minorHAnsi"/>
          <w:sz w:val="24"/>
        </w:rPr>
        <w:t xml:space="preserve"> debidamente sustentadas</w:t>
      </w:r>
      <w:r>
        <w:rPr>
          <w:rFonts w:cstheme="minorHAnsi"/>
          <w:sz w:val="24"/>
        </w:rPr>
        <w:t>,</w:t>
      </w:r>
      <w:r w:rsidRPr="00C626C5">
        <w:rPr>
          <w:rFonts w:cstheme="minorHAnsi"/>
          <w:sz w:val="24"/>
        </w:rPr>
        <w:t xml:space="preserve"> hasta el 16 de marzo de 2026, a través del correo electrónico </w:t>
      </w:r>
      <w:hyperlink r:id="rId7" w:history="1">
        <w:r w:rsidRPr="0002084B">
          <w:rPr>
            <w:rStyle w:val="Hipervnculo"/>
            <w:rFonts w:cstheme="minorHAnsi"/>
            <w:sz w:val="24"/>
          </w:rPr>
          <w:t>Gestion-DPRC@osiptel.gob.pe</w:t>
        </w:r>
      </w:hyperlink>
      <w:r>
        <w:rPr>
          <w:rFonts w:cstheme="minorHAnsi"/>
          <w:sz w:val="24"/>
        </w:rPr>
        <w:t xml:space="preserve">, </w:t>
      </w:r>
      <w:r w:rsidRPr="00C626C5">
        <w:rPr>
          <w:rFonts w:cstheme="minorHAnsi"/>
          <w:sz w:val="24"/>
        </w:rPr>
        <w:t>bajo el asunto “Consulta Temprana – Marco</w:t>
      </w:r>
      <w:r>
        <w:rPr>
          <w:rFonts w:cstheme="minorHAnsi"/>
          <w:sz w:val="24"/>
        </w:rPr>
        <w:t xml:space="preserve"> </w:t>
      </w:r>
      <w:r w:rsidRPr="00C626C5">
        <w:rPr>
          <w:rFonts w:cstheme="minorHAnsi"/>
          <w:sz w:val="24"/>
        </w:rPr>
        <w:t>normativo para la implementación de</w:t>
      </w:r>
      <w:r>
        <w:rPr>
          <w:rFonts w:cstheme="minorHAnsi"/>
          <w:sz w:val="24"/>
        </w:rPr>
        <w:t>l</w:t>
      </w:r>
      <w:r w:rsidRPr="00C626C5">
        <w:rPr>
          <w:rFonts w:cstheme="minorHAnsi"/>
          <w:sz w:val="24"/>
        </w:rPr>
        <w:t xml:space="preserve"> Sandbox Regulatorio”</w:t>
      </w:r>
      <w:r>
        <w:rPr>
          <w:rFonts w:cstheme="minorHAnsi"/>
          <w:sz w:val="24"/>
        </w:rPr>
        <w:t>.</w:t>
      </w:r>
    </w:p>
    <w:p w14:paraId="6E6A9339" w14:textId="77777777" w:rsidR="009A3A04" w:rsidRDefault="009A3A04" w:rsidP="009A3A04">
      <w:pPr>
        <w:rPr>
          <w:rFonts w:cstheme="minorHAnsi"/>
          <w:sz w:val="24"/>
        </w:rPr>
      </w:pPr>
    </w:p>
    <w:p w14:paraId="099EEBEB" w14:textId="79D213E8" w:rsidR="009A3A04" w:rsidRPr="00C626C5" w:rsidRDefault="009A3A04" w:rsidP="009A3A04">
      <w:pPr>
        <w:jc w:val="right"/>
        <w:rPr>
          <w:rFonts w:cstheme="minorHAnsi"/>
          <w:b/>
          <w:sz w:val="24"/>
        </w:rPr>
      </w:pPr>
      <w:r w:rsidRPr="00C626C5">
        <w:rPr>
          <w:rFonts w:cstheme="minorHAnsi"/>
          <w:b/>
          <w:sz w:val="24"/>
        </w:rPr>
        <w:t>Lima,</w:t>
      </w:r>
      <w:r>
        <w:rPr>
          <w:rFonts w:cstheme="minorHAnsi"/>
          <w:b/>
          <w:sz w:val="24"/>
        </w:rPr>
        <w:t xml:space="preserve"> 21</w:t>
      </w:r>
      <w:bookmarkStart w:id="0" w:name="_GoBack"/>
      <w:bookmarkEnd w:id="0"/>
      <w:r w:rsidRPr="00C626C5">
        <w:rPr>
          <w:rFonts w:cstheme="minorHAnsi"/>
          <w:b/>
          <w:sz w:val="24"/>
        </w:rPr>
        <w:t xml:space="preserve"> de febrero de 2026</w:t>
      </w:r>
    </w:p>
    <w:p w14:paraId="3A0C03BD" w14:textId="1DC19BE2" w:rsidR="001F3736" w:rsidRPr="00177368" w:rsidRDefault="001F3736" w:rsidP="00177368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sectPr w:rsidR="001F3736" w:rsidRPr="0017736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E3663" w14:textId="77777777" w:rsidR="00797050" w:rsidRDefault="00797050" w:rsidP="0015184D">
      <w:pPr>
        <w:spacing w:after="0" w:line="240" w:lineRule="auto"/>
      </w:pPr>
      <w:r>
        <w:separator/>
      </w:r>
    </w:p>
  </w:endnote>
  <w:endnote w:type="continuationSeparator" w:id="0">
    <w:p w14:paraId="6EEB1568" w14:textId="77777777" w:rsidR="00797050" w:rsidRDefault="00797050" w:rsidP="0015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AD00" w14:textId="206B6C90" w:rsidR="00904750" w:rsidRDefault="0090475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5430A6C8" wp14:editId="10F6692D">
          <wp:simplePos x="0" y="0"/>
          <wp:positionH relativeFrom="page">
            <wp:posOffset>-5715</wp:posOffset>
          </wp:positionH>
          <wp:positionV relativeFrom="paragraph">
            <wp:posOffset>-333375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0BE42" w14:textId="77777777" w:rsidR="00797050" w:rsidRDefault="00797050" w:rsidP="0015184D">
      <w:pPr>
        <w:spacing w:after="0" w:line="240" w:lineRule="auto"/>
      </w:pPr>
      <w:r>
        <w:separator/>
      </w:r>
    </w:p>
  </w:footnote>
  <w:footnote w:type="continuationSeparator" w:id="0">
    <w:p w14:paraId="21B4BD8F" w14:textId="77777777" w:rsidR="00797050" w:rsidRDefault="00797050" w:rsidP="0015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81428" w14:textId="77DBC277" w:rsidR="0015184D" w:rsidRDefault="0015184D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44C058B9" wp14:editId="3CF93057">
          <wp:simplePos x="0" y="0"/>
          <wp:positionH relativeFrom="page">
            <wp:posOffset>-234315</wp:posOffset>
          </wp:positionH>
          <wp:positionV relativeFrom="paragraph">
            <wp:posOffset>-505460</wp:posOffset>
          </wp:positionV>
          <wp:extent cx="7581264" cy="944880"/>
          <wp:effectExtent l="0" t="0" r="127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35B9C"/>
    <w:multiLevelType w:val="hybridMultilevel"/>
    <w:tmpl w:val="4D5E7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8C7"/>
    <w:multiLevelType w:val="hybridMultilevel"/>
    <w:tmpl w:val="1E8C677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C1C1F"/>
    <w:multiLevelType w:val="hybridMultilevel"/>
    <w:tmpl w:val="1212988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110057CB"/>
    <w:multiLevelType w:val="hybridMultilevel"/>
    <w:tmpl w:val="BC58F5F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23222"/>
    <w:multiLevelType w:val="hybridMultilevel"/>
    <w:tmpl w:val="159689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1501"/>
    <w:multiLevelType w:val="hybridMultilevel"/>
    <w:tmpl w:val="1DE09AB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2F11CB"/>
    <w:multiLevelType w:val="hybridMultilevel"/>
    <w:tmpl w:val="7452DD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63B11"/>
    <w:multiLevelType w:val="hybridMultilevel"/>
    <w:tmpl w:val="5BA8C3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BA4"/>
    <w:multiLevelType w:val="hybridMultilevel"/>
    <w:tmpl w:val="9DF674B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A0B3F4F"/>
    <w:multiLevelType w:val="hybridMultilevel"/>
    <w:tmpl w:val="04A2FD7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816C8E"/>
    <w:multiLevelType w:val="hybridMultilevel"/>
    <w:tmpl w:val="9B964C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1" w15:restartNumberingAfterBreak="0">
    <w:nsid w:val="1EDE5E3D"/>
    <w:multiLevelType w:val="hybridMultilevel"/>
    <w:tmpl w:val="4086C494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2" w15:restartNumberingAfterBreak="0">
    <w:nsid w:val="289E78E6"/>
    <w:multiLevelType w:val="hybridMultilevel"/>
    <w:tmpl w:val="C57222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74159"/>
    <w:multiLevelType w:val="hybridMultilevel"/>
    <w:tmpl w:val="7910FDB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D4613"/>
    <w:multiLevelType w:val="hybridMultilevel"/>
    <w:tmpl w:val="FAF2B19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DD4FDC"/>
    <w:multiLevelType w:val="hybridMultilevel"/>
    <w:tmpl w:val="C91E28B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C122D8"/>
    <w:multiLevelType w:val="hybridMultilevel"/>
    <w:tmpl w:val="DE061C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530BC1"/>
    <w:multiLevelType w:val="hybridMultilevel"/>
    <w:tmpl w:val="59AA3B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C26B2F"/>
    <w:multiLevelType w:val="hybridMultilevel"/>
    <w:tmpl w:val="8376AF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15933"/>
    <w:multiLevelType w:val="hybridMultilevel"/>
    <w:tmpl w:val="8E10626E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37267989"/>
    <w:multiLevelType w:val="hybridMultilevel"/>
    <w:tmpl w:val="4FA49B16"/>
    <w:lvl w:ilvl="0" w:tplc="2452A0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5B4A66"/>
    <w:multiLevelType w:val="hybridMultilevel"/>
    <w:tmpl w:val="CA1AE1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D7FBB"/>
    <w:multiLevelType w:val="hybridMultilevel"/>
    <w:tmpl w:val="0686BE7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2D6911"/>
    <w:multiLevelType w:val="hybridMultilevel"/>
    <w:tmpl w:val="F556715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024C6C"/>
    <w:multiLevelType w:val="hybridMultilevel"/>
    <w:tmpl w:val="6C464C96"/>
    <w:lvl w:ilvl="0" w:tplc="280A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5" w15:restartNumberingAfterBreak="0">
    <w:nsid w:val="593E6E7D"/>
    <w:multiLevelType w:val="hybridMultilevel"/>
    <w:tmpl w:val="DBC497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AF0F79"/>
    <w:multiLevelType w:val="hybridMultilevel"/>
    <w:tmpl w:val="82F681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07E17"/>
    <w:multiLevelType w:val="hybridMultilevel"/>
    <w:tmpl w:val="FD0EA79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9" w15:restartNumberingAfterBreak="0">
    <w:nsid w:val="67514C67"/>
    <w:multiLevelType w:val="hybridMultilevel"/>
    <w:tmpl w:val="92F2FA1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0" w15:restartNumberingAfterBreak="0">
    <w:nsid w:val="68984EAA"/>
    <w:multiLevelType w:val="hybridMultilevel"/>
    <w:tmpl w:val="13C8284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135AF6"/>
    <w:multiLevelType w:val="hybridMultilevel"/>
    <w:tmpl w:val="A8AE95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632187"/>
    <w:multiLevelType w:val="hybridMultilevel"/>
    <w:tmpl w:val="DC903BF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3" w15:restartNumberingAfterBreak="0">
    <w:nsid w:val="7B554F3B"/>
    <w:multiLevelType w:val="hybridMultilevel"/>
    <w:tmpl w:val="8D80D0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D96898"/>
    <w:multiLevelType w:val="hybridMultilevel"/>
    <w:tmpl w:val="9CA4D4E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23"/>
  </w:num>
  <w:num w:numId="4">
    <w:abstractNumId w:val="24"/>
  </w:num>
  <w:num w:numId="5">
    <w:abstractNumId w:val="32"/>
  </w:num>
  <w:num w:numId="6">
    <w:abstractNumId w:val="28"/>
  </w:num>
  <w:num w:numId="7">
    <w:abstractNumId w:val="6"/>
  </w:num>
  <w:num w:numId="8">
    <w:abstractNumId w:val="13"/>
  </w:num>
  <w:num w:numId="9">
    <w:abstractNumId w:val="21"/>
  </w:num>
  <w:num w:numId="10">
    <w:abstractNumId w:val="4"/>
  </w:num>
  <w:num w:numId="11">
    <w:abstractNumId w:val="2"/>
  </w:num>
  <w:num w:numId="12">
    <w:abstractNumId w:val="31"/>
  </w:num>
  <w:num w:numId="13">
    <w:abstractNumId w:val="29"/>
  </w:num>
  <w:num w:numId="14">
    <w:abstractNumId w:val="25"/>
  </w:num>
  <w:num w:numId="15">
    <w:abstractNumId w:val="33"/>
  </w:num>
  <w:num w:numId="16">
    <w:abstractNumId w:val="14"/>
  </w:num>
  <w:num w:numId="17">
    <w:abstractNumId w:val="26"/>
  </w:num>
  <w:num w:numId="18">
    <w:abstractNumId w:val="34"/>
  </w:num>
  <w:num w:numId="19">
    <w:abstractNumId w:val="15"/>
  </w:num>
  <w:num w:numId="20">
    <w:abstractNumId w:val="20"/>
  </w:num>
  <w:num w:numId="21">
    <w:abstractNumId w:val="30"/>
  </w:num>
  <w:num w:numId="22">
    <w:abstractNumId w:val="5"/>
  </w:num>
  <w:num w:numId="23">
    <w:abstractNumId w:val="9"/>
  </w:num>
  <w:num w:numId="24">
    <w:abstractNumId w:val="7"/>
  </w:num>
  <w:num w:numId="25">
    <w:abstractNumId w:val="17"/>
  </w:num>
  <w:num w:numId="26">
    <w:abstractNumId w:val="12"/>
  </w:num>
  <w:num w:numId="27">
    <w:abstractNumId w:val="11"/>
  </w:num>
  <w:num w:numId="28">
    <w:abstractNumId w:val="22"/>
  </w:num>
  <w:num w:numId="29">
    <w:abstractNumId w:val="27"/>
  </w:num>
  <w:num w:numId="30">
    <w:abstractNumId w:val="19"/>
  </w:num>
  <w:num w:numId="31">
    <w:abstractNumId w:val="0"/>
  </w:num>
  <w:num w:numId="32">
    <w:abstractNumId w:val="1"/>
  </w:num>
  <w:num w:numId="33">
    <w:abstractNumId w:val="8"/>
  </w:num>
  <w:num w:numId="34">
    <w:abstractNumId w:val="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PE" w:vendorID="64" w:dllVersion="6" w:nlCheck="1" w:checkStyle="0"/>
  <w:activeWritingStyle w:appName="MSWord" w:lang="es-MX" w:vendorID="64" w:dllVersion="6" w:nlCheck="1" w:checkStyle="0"/>
  <w:activeWritingStyle w:appName="MSWord" w:lang="es-MX" w:vendorID="64" w:dllVersion="4096" w:nlCheck="1" w:checkStyle="0"/>
  <w:activeWritingStyle w:appName="MSWord" w:lang="es-PE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B"/>
    <w:rsid w:val="00011B51"/>
    <w:rsid w:val="000147FB"/>
    <w:rsid w:val="00027CF3"/>
    <w:rsid w:val="00051CFD"/>
    <w:rsid w:val="00055F03"/>
    <w:rsid w:val="00074306"/>
    <w:rsid w:val="00076A32"/>
    <w:rsid w:val="000B589A"/>
    <w:rsid w:val="000E25D0"/>
    <w:rsid w:val="00100DBA"/>
    <w:rsid w:val="0010553B"/>
    <w:rsid w:val="00105CAD"/>
    <w:rsid w:val="00107FE9"/>
    <w:rsid w:val="00123D95"/>
    <w:rsid w:val="00141008"/>
    <w:rsid w:val="0014150D"/>
    <w:rsid w:val="0015184D"/>
    <w:rsid w:val="00177368"/>
    <w:rsid w:val="0018440B"/>
    <w:rsid w:val="001A75E7"/>
    <w:rsid w:val="001D1E35"/>
    <w:rsid w:val="001F3736"/>
    <w:rsid w:val="0020024C"/>
    <w:rsid w:val="00226802"/>
    <w:rsid w:val="00265AA9"/>
    <w:rsid w:val="0028498F"/>
    <w:rsid w:val="0029215D"/>
    <w:rsid w:val="002C5BC3"/>
    <w:rsid w:val="002F122F"/>
    <w:rsid w:val="00321AC4"/>
    <w:rsid w:val="0033543B"/>
    <w:rsid w:val="00355F03"/>
    <w:rsid w:val="00397107"/>
    <w:rsid w:val="003C7EC3"/>
    <w:rsid w:val="00492C8F"/>
    <w:rsid w:val="004B26D6"/>
    <w:rsid w:val="004E2B06"/>
    <w:rsid w:val="00527157"/>
    <w:rsid w:val="005367FD"/>
    <w:rsid w:val="00552378"/>
    <w:rsid w:val="00553636"/>
    <w:rsid w:val="0059685C"/>
    <w:rsid w:val="005B2300"/>
    <w:rsid w:val="005B63AC"/>
    <w:rsid w:val="005D7F40"/>
    <w:rsid w:val="005E7470"/>
    <w:rsid w:val="0065212F"/>
    <w:rsid w:val="00675758"/>
    <w:rsid w:val="006F64A4"/>
    <w:rsid w:val="007248E9"/>
    <w:rsid w:val="007429DF"/>
    <w:rsid w:val="007633C7"/>
    <w:rsid w:val="00766BFF"/>
    <w:rsid w:val="0078477F"/>
    <w:rsid w:val="00792565"/>
    <w:rsid w:val="00797050"/>
    <w:rsid w:val="007C133A"/>
    <w:rsid w:val="007D3392"/>
    <w:rsid w:val="007E5008"/>
    <w:rsid w:val="007F2620"/>
    <w:rsid w:val="00805309"/>
    <w:rsid w:val="008219BC"/>
    <w:rsid w:val="00834AAC"/>
    <w:rsid w:val="00835EBC"/>
    <w:rsid w:val="0084173B"/>
    <w:rsid w:val="00841ECF"/>
    <w:rsid w:val="00876AA8"/>
    <w:rsid w:val="00891B25"/>
    <w:rsid w:val="008F3E1D"/>
    <w:rsid w:val="00904750"/>
    <w:rsid w:val="009A3A04"/>
    <w:rsid w:val="009A5553"/>
    <w:rsid w:val="009C5801"/>
    <w:rsid w:val="009D3F92"/>
    <w:rsid w:val="00A028E8"/>
    <w:rsid w:val="00A05B97"/>
    <w:rsid w:val="00A33ABA"/>
    <w:rsid w:val="00A544EA"/>
    <w:rsid w:val="00A67C60"/>
    <w:rsid w:val="00A714EC"/>
    <w:rsid w:val="00A75C0F"/>
    <w:rsid w:val="00AE1B5B"/>
    <w:rsid w:val="00B051B0"/>
    <w:rsid w:val="00BE0E41"/>
    <w:rsid w:val="00BE1499"/>
    <w:rsid w:val="00BF6BAE"/>
    <w:rsid w:val="00C00FFD"/>
    <w:rsid w:val="00C6119B"/>
    <w:rsid w:val="00C662C3"/>
    <w:rsid w:val="00C74021"/>
    <w:rsid w:val="00C809C3"/>
    <w:rsid w:val="00C93B98"/>
    <w:rsid w:val="00C94719"/>
    <w:rsid w:val="00CB169A"/>
    <w:rsid w:val="00DB6F9C"/>
    <w:rsid w:val="00DE5310"/>
    <w:rsid w:val="00DF4480"/>
    <w:rsid w:val="00E159D3"/>
    <w:rsid w:val="00E627E5"/>
    <w:rsid w:val="00E80FFA"/>
    <w:rsid w:val="00E90245"/>
    <w:rsid w:val="00EE2139"/>
    <w:rsid w:val="00EF6237"/>
    <w:rsid w:val="00EF7DD7"/>
    <w:rsid w:val="00F2783A"/>
    <w:rsid w:val="00F67852"/>
    <w:rsid w:val="00FD1312"/>
    <w:rsid w:val="00FD3F21"/>
    <w:rsid w:val="00FE32D4"/>
    <w:rsid w:val="00FE4B43"/>
    <w:rsid w:val="00FE5B07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42480"/>
  <w15:chartTrackingRefBased/>
  <w15:docId w15:val="{8081DB50-FD9A-4206-ABD7-72C2E1A7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44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Viñeta normal,Párrafo de lista1,Nota a pie,List Paragraph1,Cuadro 2-1,Párrafo de lista2,Titulo 1,Footnote,Lista vistosa - Énfasis 11,Ha,SUBTITU MEMO,Lista 123,List Paragraph,Numeracion iniciativas,ASPECTOS GENERALES,P,paul2,TITULO A"/>
    <w:basedOn w:val="Normal"/>
    <w:link w:val="PrrafodelistaCar"/>
    <w:uiPriority w:val="34"/>
    <w:qFormat/>
    <w:rsid w:val="001844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EF7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84D"/>
  </w:style>
  <w:style w:type="paragraph" w:styleId="Piedepgina">
    <w:name w:val="footer"/>
    <w:basedOn w:val="Normal"/>
    <w:link w:val="PiedepginaCar"/>
    <w:uiPriority w:val="99"/>
    <w:unhideWhenUsed/>
    <w:rsid w:val="0015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84D"/>
  </w:style>
  <w:style w:type="paragraph" w:styleId="NormalWeb">
    <w:name w:val="Normal (Web)"/>
    <w:basedOn w:val="Normal"/>
    <w:uiPriority w:val="99"/>
    <w:unhideWhenUsed/>
    <w:rsid w:val="00BF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265AA9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C5BC3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BE1499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E1499"/>
    <w:rPr>
      <w:sz w:val="20"/>
      <w:szCs w:val="20"/>
      <w:lang w:val="es-ES"/>
    </w:rPr>
  </w:style>
  <w:style w:type="character" w:customStyle="1" w:styleId="selectable-text">
    <w:name w:val="selectable-text"/>
    <w:basedOn w:val="Fuentedeprrafopredeter"/>
    <w:rsid w:val="00DF4480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49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21AC4"/>
    <w:rPr>
      <w:color w:val="954F72" w:themeColor="followedHyperlink"/>
      <w:u w:val="single"/>
    </w:rPr>
  </w:style>
  <w:style w:type="character" w:customStyle="1" w:styleId="PrrafodelistaCar">
    <w:name w:val="Párrafo de lista Car"/>
    <w:aliases w:val="Viñeta normal Car,Párrafo de lista1 Car,Nota a pie Car,List Paragraph1 Car,Cuadro 2-1 Car,Párrafo de lista2 Car,Titulo 1 Car,Footnote Car,Lista vistosa - Énfasis 11 Car,Ha Car,SUBTITU MEMO Car,Lista 123 Car,List Paragraph Car,P Car"/>
    <w:basedOn w:val="Fuentedeprrafopredeter"/>
    <w:link w:val="Prrafodelista"/>
    <w:uiPriority w:val="34"/>
    <w:qFormat/>
    <w:rsid w:val="0020024C"/>
  </w:style>
  <w:style w:type="character" w:customStyle="1" w:styleId="aupe">
    <w:name w:val="_aupe"/>
    <w:basedOn w:val="Fuentedeprrafopredeter"/>
    <w:rsid w:val="001F3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stion-DPRC@osiptel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Herrera Villanueva</dc:creator>
  <cp:keywords/>
  <dc:description/>
  <cp:lastModifiedBy>Prov Javier Artica Perez</cp:lastModifiedBy>
  <cp:revision>7</cp:revision>
  <dcterms:created xsi:type="dcterms:W3CDTF">2026-02-19T21:47:00Z</dcterms:created>
  <dcterms:modified xsi:type="dcterms:W3CDTF">2026-02-20T22:55:00Z</dcterms:modified>
</cp:coreProperties>
</file>