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21ED" w14:textId="398C8C4A" w:rsidR="00F96CAB" w:rsidRDefault="00F96CAB" w:rsidP="00F96CAB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</w:pPr>
      <w:r>
        <w:rPr>
          <w:rFonts w:ascii="Calibri" w:hAnsi="Calibri" w:cs="Calibri"/>
          <w:b/>
          <w:sz w:val="32"/>
          <w:szCs w:val="32"/>
          <w:u w:val="single"/>
        </w:rPr>
        <w:t>N</w:t>
      </w:r>
      <w:r w:rsidR="001E3442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OTA DE PRENSA</w:t>
      </w:r>
      <w:r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N.</w:t>
      </w:r>
      <w:r w:rsidRPr="00245614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  <w:vertAlign w:val="superscript"/>
        </w:rPr>
        <w:t>o</w:t>
      </w:r>
      <w:proofErr w:type="spellEnd"/>
      <w:r w:rsidRPr="00245614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  <w:vertAlign w:val="superscript"/>
        </w:rPr>
        <w:t xml:space="preserve"> </w:t>
      </w:r>
      <w:r w:rsidR="00635117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9</w:t>
      </w:r>
      <w:r w:rsidR="00D5625F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3</w:t>
      </w:r>
      <w:r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-2026</w:t>
      </w:r>
    </w:p>
    <w:p w14:paraId="5FEECB5F" w14:textId="77777777" w:rsidR="00D5625F" w:rsidRDefault="00D5625F" w:rsidP="00D5625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Perú: m</w:t>
      </w:r>
      <w:r w:rsidRPr="007B6365">
        <w:rPr>
          <w:b/>
          <w:sz w:val="32"/>
          <w:szCs w:val="32"/>
        </w:rPr>
        <w:t>ás de 3 millones de líneas móviles cambiaron de empresa operador</w:t>
      </w:r>
      <w:r>
        <w:rPr>
          <w:b/>
          <w:sz w:val="32"/>
          <w:szCs w:val="32"/>
        </w:rPr>
        <w:t>a en el primer semestre de 2026</w:t>
      </w:r>
    </w:p>
    <w:p w14:paraId="66FCE934" w14:textId="77777777" w:rsidR="00D5625F" w:rsidRDefault="00D5625F" w:rsidP="00D5625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9B5D64">
        <w:rPr>
          <w:sz w:val="24"/>
          <w:szCs w:val="24"/>
        </w:rPr>
        <w:t xml:space="preserve">Más del 77 % de portaciones </w:t>
      </w:r>
      <w:r>
        <w:rPr>
          <w:sz w:val="24"/>
          <w:szCs w:val="24"/>
        </w:rPr>
        <w:t xml:space="preserve">realizadas en el mencionado periodo </w:t>
      </w:r>
      <w:r w:rsidRPr="009B5D64">
        <w:rPr>
          <w:sz w:val="24"/>
          <w:szCs w:val="24"/>
        </w:rPr>
        <w:t>correspondieron al segmento pospago (2.39 millones)</w:t>
      </w:r>
      <w:r>
        <w:rPr>
          <w:sz w:val="24"/>
          <w:szCs w:val="24"/>
        </w:rPr>
        <w:t>.</w:t>
      </w:r>
    </w:p>
    <w:p w14:paraId="0F8B6D19" w14:textId="77777777" w:rsidR="00D5625F" w:rsidRPr="009B5D64" w:rsidRDefault="00D5625F" w:rsidP="00D5625F">
      <w:pPr>
        <w:pStyle w:val="Prrafodelista"/>
        <w:spacing w:after="0" w:line="240" w:lineRule="auto"/>
        <w:ind w:left="360"/>
        <w:jc w:val="both"/>
        <w:rPr>
          <w:sz w:val="24"/>
          <w:szCs w:val="24"/>
        </w:rPr>
      </w:pPr>
    </w:p>
    <w:p w14:paraId="72E51F90" w14:textId="77777777" w:rsidR="00D5625F" w:rsidRPr="00564507" w:rsidRDefault="00D5625F" w:rsidP="00D5625F">
      <w:pPr>
        <w:jc w:val="both"/>
        <w:rPr>
          <w:sz w:val="24"/>
          <w:szCs w:val="24"/>
        </w:rPr>
      </w:pPr>
      <w:r w:rsidRPr="00564507">
        <w:rPr>
          <w:sz w:val="24"/>
          <w:szCs w:val="24"/>
        </w:rPr>
        <w:t xml:space="preserve">Durante el primer semestre de 2026, cerca de 3.1 millones de líneas móviles cambiaron de empresa operadora bajo el </w:t>
      </w:r>
      <w:r w:rsidRPr="00564507">
        <w:rPr>
          <w:b/>
          <w:bCs/>
          <w:sz w:val="24"/>
          <w:szCs w:val="24"/>
        </w:rPr>
        <w:t>mecanismo de portabilidad numérica</w:t>
      </w:r>
      <w:r w:rsidRPr="00564507">
        <w:rPr>
          <w:sz w:val="24"/>
          <w:szCs w:val="24"/>
        </w:rPr>
        <w:t xml:space="preserve">, </w:t>
      </w:r>
      <w:r>
        <w:rPr>
          <w:sz w:val="24"/>
          <w:szCs w:val="24"/>
        </w:rPr>
        <w:t>lo que significó una disminución de 12.30 %</w:t>
      </w:r>
      <w:r w:rsidRPr="00564507">
        <w:rPr>
          <w:sz w:val="24"/>
          <w:szCs w:val="24"/>
        </w:rPr>
        <w:t xml:space="preserve"> re</w:t>
      </w:r>
      <w:r>
        <w:rPr>
          <w:sz w:val="24"/>
          <w:szCs w:val="24"/>
        </w:rPr>
        <w:t xml:space="preserve">specto a las portaciones registradas </w:t>
      </w:r>
      <w:r w:rsidRPr="00564507">
        <w:rPr>
          <w:sz w:val="24"/>
          <w:szCs w:val="24"/>
        </w:rPr>
        <w:t>en el primer semestre de 2025 (3.5 millones), informó el Organismo Supervisor de Inversión Privada en Telecomunicaciones (OSIPTEL).</w:t>
      </w:r>
    </w:p>
    <w:p w14:paraId="6328418D" w14:textId="2FC04F3E" w:rsidR="00D5625F" w:rsidRDefault="00D5625F" w:rsidP="00D5625F">
      <w:pPr>
        <w:jc w:val="both"/>
        <w:rPr>
          <w:sz w:val="24"/>
          <w:szCs w:val="24"/>
        </w:rPr>
      </w:pPr>
      <w:r w:rsidRPr="00564507">
        <w:rPr>
          <w:sz w:val="24"/>
          <w:szCs w:val="24"/>
        </w:rPr>
        <w:t xml:space="preserve">Esta cifra se puede explicar por la madurez del mercado y los esfuerzos de las empresas operadoras de fidelizar a sus clientes. Cabe señalar que, del total de portaciones realizadas en el primer semestre del año, más del 77 % correspondió al </w:t>
      </w:r>
      <w:r w:rsidRPr="00564507">
        <w:rPr>
          <w:b/>
          <w:bCs/>
          <w:sz w:val="24"/>
          <w:szCs w:val="24"/>
        </w:rPr>
        <w:t>segmento pospago</w:t>
      </w:r>
      <w:r w:rsidRPr="00564507">
        <w:rPr>
          <w:sz w:val="24"/>
          <w:szCs w:val="24"/>
        </w:rPr>
        <w:t xml:space="preserve"> (2.39 millones).</w:t>
      </w:r>
    </w:p>
    <w:p w14:paraId="13F96736" w14:textId="3528C0E7" w:rsidR="00D5625F" w:rsidRDefault="00D5625F" w:rsidP="00D5625F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F4BBB61" wp14:editId="74E8D6FF">
            <wp:extent cx="5029200" cy="2884220"/>
            <wp:effectExtent l="0" t="0" r="0" b="0"/>
            <wp:docPr id="21199794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46" cy="288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2BCE5" w14:textId="77777777" w:rsidR="00D5625F" w:rsidRDefault="00D5625F" w:rsidP="00D562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Claro tuvo el mejor resultado neto del primer semestre de 2026</w:t>
      </w:r>
    </w:p>
    <w:p w14:paraId="200AC49E" w14:textId="088D25E0" w:rsidR="00D5625F" w:rsidRDefault="00D5625F" w:rsidP="00D5625F">
      <w:pPr>
        <w:spacing w:after="0" w:line="240" w:lineRule="auto"/>
        <w:jc w:val="both"/>
        <w:rPr>
          <w:sz w:val="24"/>
          <w:szCs w:val="24"/>
          <w:lang w:val="es-MX"/>
        </w:rPr>
      </w:pPr>
      <w:r w:rsidRPr="007B6365">
        <w:rPr>
          <w:sz w:val="24"/>
          <w:szCs w:val="24"/>
        </w:rPr>
        <w:t xml:space="preserve">De acuerdo con la información proporcionada por el </w:t>
      </w:r>
      <w:r w:rsidRPr="0054795F">
        <w:rPr>
          <w:b/>
          <w:bCs/>
          <w:sz w:val="24"/>
          <w:szCs w:val="24"/>
        </w:rPr>
        <w:t xml:space="preserve">Administrador de Base de Datos </w:t>
      </w:r>
      <w:r>
        <w:rPr>
          <w:b/>
          <w:bCs/>
          <w:sz w:val="24"/>
          <w:szCs w:val="24"/>
        </w:rPr>
        <w:t xml:space="preserve">Centralizada </w:t>
      </w:r>
      <w:r w:rsidRPr="0054795F">
        <w:rPr>
          <w:b/>
          <w:bCs/>
          <w:sz w:val="24"/>
          <w:szCs w:val="24"/>
        </w:rPr>
        <w:t>de Portabilidad</w:t>
      </w:r>
      <w:r w:rsidRPr="0054795F">
        <w:rPr>
          <w:sz w:val="24"/>
          <w:szCs w:val="24"/>
        </w:rPr>
        <w:t> (</w:t>
      </w:r>
      <w:proofErr w:type="spellStart"/>
      <w:r w:rsidRPr="0054795F">
        <w:rPr>
          <w:b/>
          <w:bCs/>
          <w:sz w:val="24"/>
          <w:szCs w:val="24"/>
        </w:rPr>
        <w:t>ABD</w:t>
      </w:r>
      <w:r>
        <w:rPr>
          <w:b/>
          <w:bCs/>
          <w:sz w:val="24"/>
          <w:szCs w:val="24"/>
        </w:rPr>
        <w:t>C</w:t>
      </w:r>
      <w:r w:rsidRPr="0054795F">
        <w:rPr>
          <w:b/>
          <w:bCs/>
          <w:sz w:val="24"/>
          <w:szCs w:val="24"/>
        </w:rPr>
        <w:t>P</w:t>
      </w:r>
      <w:proofErr w:type="spellEnd"/>
      <w:r w:rsidRPr="0054795F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7B6365">
        <w:rPr>
          <w:sz w:val="24"/>
          <w:szCs w:val="24"/>
        </w:rPr>
        <w:t>al OSIPTEL</w:t>
      </w:r>
      <w:r>
        <w:rPr>
          <w:sz w:val="24"/>
          <w:szCs w:val="24"/>
        </w:rPr>
        <w:t xml:space="preserve">, al cierre del primer semestre de 2026, </w:t>
      </w:r>
      <w:r w:rsidRPr="009B5D64">
        <w:rPr>
          <w:b/>
          <w:bCs/>
          <w:sz w:val="24"/>
          <w:szCs w:val="24"/>
        </w:rPr>
        <w:t>Claro</w:t>
      </w:r>
      <w:r>
        <w:rPr>
          <w:sz w:val="24"/>
          <w:szCs w:val="24"/>
        </w:rPr>
        <w:t xml:space="preserve"> tuvo un resultado neto de portabilidad móvil (más líneas ganadas que perdidas) de 102 058 líneas, seguida de </w:t>
      </w:r>
      <w:r w:rsidRPr="009B5D64">
        <w:rPr>
          <w:b/>
          <w:bCs/>
          <w:sz w:val="24"/>
          <w:szCs w:val="24"/>
          <w:lang w:val="es-MX"/>
        </w:rPr>
        <w:t>Entel</w:t>
      </w:r>
      <w:r>
        <w:rPr>
          <w:sz w:val="24"/>
          <w:szCs w:val="24"/>
          <w:lang w:val="es-MX"/>
        </w:rPr>
        <w:t xml:space="preserve"> (34 072), </w:t>
      </w:r>
      <w:r w:rsidRPr="009B5D64">
        <w:rPr>
          <w:b/>
          <w:bCs/>
          <w:sz w:val="24"/>
          <w:szCs w:val="24"/>
          <w:lang w:val="es-MX"/>
        </w:rPr>
        <w:t>Guinea Mobile</w:t>
      </w:r>
      <w:r>
        <w:rPr>
          <w:sz w:val="24"/>
          <w:szCs w:val="24"/>
          <w:lang w:val="es-MX"/>
        </w:rPr>
        <w:t xml:space="preserve"> (367) y </w:t>
      </w:r>
      <w:r w:rsidRPr="009B5D64">
        <w:rPr>
          <w:b/>
          <w:bCs/>
          <w:sz w:val="24"/>
          <w:szCs w:val="24"/>
          <w:lang w:val="es-MX"/>
        </w:rPr>
        <w:t>Dolphin</w:t>
      </w:r>
      <w:r>
        <w:rPr>
          <w:sz w:val="24"/>
          <w:szCs w:val="24"/>
          <w:lang w:val="es-MX"/>
        </w:rPr>
        <w:t xml:space="preserve"> (25).</w:t>
      </w:r>
    </w:p>
    <w:p w14:paraId="582599D1" w14:textId="77777777" w:rsidR="00D5625F" w:rsidRDefault="00D5625F" w:rsidP="00D5625F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4C5024E1" w14:textId="453B4265" w:rsidR="00D5625F" w:rsidRDefault="00D5625F" w:rsidP="00D5625F">
      <w:pPr>
        <w:spacing w:after="0" w:line="240" w:lineRule="auto"/>
        <w:jc w:val="both"/>
        <w:rPr>
          <w:b/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En tanto, </w:t>
      </w:r>
      <w:r w:rsidRPr="009B5D64">
        <w:rPr>
          <w:b/>
          <w:bCs/>
          <w:sz w:val="24"/>
          <w:szCs w:val="24"/>
          <w:lang w:val="es-MX"/>
        </w:rPr>
        <w:t>Bitel</w:t>
      </w:r>
      <w:r>
        <w:rPr>
          <w:sz w:val="24"/>
          <w:szCs w:val="24"/>
          <w:lang w:val="es-MX"/>
        </w:rPr>
        <w:t xml:space="preserve"> y </w:t>
      </w:r>
      <w:r w:rsidRPr="009B5D64">
        <w:rPr>
          <w:b/>
          <w:bCs/>
          <w:sz w:val="24"/>
          <w:szCs w:val="24"/>
          <w:lang w:val="es-MX"/>
        </w:rPr>
        <w:t>Movistar</w:t>
      </w:r>
      <w:r>
        <w:rPr>
          <w:sz w:val="24"/>
          <w:szCs w:val="24"/>
          <w:lang w:val="es-MX"/>
        </w:rPr>
        <w:t xml:space="preserve"> presentaron resultados netos negativos con -33 301 y -103 221 líneas, respectivamente.  </w:t>
      </w:r>
    </w:p>
    <w:p w14:paraId="5689CB22" w14:textId="08DAC646" w:rsidR="00D5625F" w:rsidRDefault="00D5625F" w:rsidP="00D5625F">
      <w:pPr>
        <w:spacing w:after="0" w:line="240" w:lineRule="auto"/>
        <w:jc w:val="center"/>
        <w:rPr>
          <w:b/>
          <w:sz w:val="24"/>
          <w:szCs w:val="24"/>
          <w:lang w:val="es-MX"/>
        </w:rPr>
      </w:pPr>
      <w:r>
        <w:rPr>
          <w:noProof/>
        </w:rPr>
        <w:lastRenderedPageBreak/>
        <w:drawing>
          <wp:inline distT="0" distB="0" distL="0" distR="0" wp14:anchorId="1E70860F" wp14:editId="6AA2717E">
            <wp:extent cx="4076700" cy="2293384"/>
            <wp:effectExtent l="0" t="0" r="0" b="0"/>
            <wp:docPr id="214393872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384" cy="229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463F8" w14:textId="39A3A8A6" w:rsidR="00D5625F" w:rsidRPr="000A5CB1" w:rsidRDefault="00D5625F" w:rsidP="00D5625F">
      <w:pPr>
        <w:spacing w:after="0" w:line="240" w:lineRule="auto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Evolución semestral de portabilidad neta por empresa operadora</w:t>
      </w:r>
    </w:p>
    <w:p w14:paraId="2E3C038D" w14:textId="77777777" w:rsidR="00D5625F" w:rsidRDefault="00D5625F" w:rsidP="00D5625F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En los primeros seis meses de 2026, Claro </w:t>
      </w:r>
      <w:r w:rsidRPr="000F4AEE">
        <w:rPr>
          <w:sz w:val="24"/>
          <w:szCs w:val="24"/>
          <w:lang w:val="es-MX"/>
        </w:rPr>
        <w:t xml:space="preserve">registró </w:t>
      </w:r>
      <w:r>
        <w:rPr>
          <w:sz w:val="24"/>
          <w:szCs w:val="24"/>
          <w:lang w:val="es-MX"/>
        </w:rPr>
        <w:t>los mejores resultados netos, siendo enero el mes donde obtuvo su mejor resultado (25 480 líneas). Por su parte, Entel comenzó el año con un resultado neto negativo (-803), y fue recuperándose de manera progresiva, hasta conseguir su mejor desempeño en junio (15 204).</w:t>
      </w:r>
    </w:p>
    <w:p w14:paraId="4F61059F" w14:textId="77777777" w:rsidR="00D5625F" w:rsidRDefault="00D5625F" w:rsidP="00D5625F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582196F4" w14:textId="77777777" w:rsidR="00D5625F" w:rsidRDefault="00D5625F" w:rsidP="00D5625F">
      <w:pPr>
        <w:spacing w:after="0" w:line="240" w:lineRule="auto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En tanto, Bitel, que arrancó el año con saldo neto positivo (851), cerró junio con un resultado neto negativo de -22 454 líneas. Finalmente, y pese a que no pudo conseguir resultados netos positivos en los primeros seis meses del año, Movistar evidenció una recuperación y cerró junio con un saldo negativo de -11 552.</w:t>
      </w:r>
    </w:p>
    <w:p w14:paraId="6F4159C2" w14:textId="77777777" w:rsidR="00D5625F" w:rsidRDefault="00D5625F" w:rsidP="00D5625F">
      <w:pPr>
        <w:spacing w:after="0" w:line="240" w:lineRule="auto"/>
        <w:jc w:val="both"/>
        <w:rPr>
          <w:sz w:val="24"/>
          <w:szCs w:val="24"/>
          <w:lang w:val="es-MX"/>
        </w:rPr>
      </w:pPr>
    </w:p>
    <w:p w14:paraId="327C85A6" w14:textId="25E095D1" w:rsidR="00D5625F" w:rsidRDefault="00D5625F" w:rsidP="00D5625F">
      <w:pPr>
        <w:spacing w:after="0" w:line="240" w:lineRule="auto"/>
        <w:jc w:val="center"/>
        <w:rPr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3DC00EDC" wp14:editId="7202A5E0">
            <wp:extent cx="4467225" cy="3003714"/>
            <wp:effectExtent l="0" t="0" r="0" b="6350"/>
            <wp:docPr id="90453409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639" cy="300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E0B5A" w14:textId="77777777" w:rsidR="00D5625F" w:rsidRPr="007B6365" w:rsidRDefault="00D5625F" w:rsidP="00D5625F">
      <w:pPr>
        <w:spacing w:after="0" w:line="240" w:lineRule="auto"/>
        <w:rPr>
          <w:b/>
          <w:sz w:val="24"/>
          <w:szCs w:val="24"/>
        </w:rPr>
      </w:pPr>
      <w:r w:rsidRPr="007B6365">
        <w:rPr>
          <w:b/>
          <w:sz w:val="24"/>
          <w:szCs w:val="24"/>
        </w:rPr>
        <w:t>El dato:</w:t>
      </w:r>
    </w:p>
    <w:p w14:paraId="4E8CE4E7" w14:textId="0E365979" w:rsidR="00D5625F" w:rsidRDefault="00D5625F" w:rsidP="00D5625F">
      <w:pPr>
        <w:spacing w:after="0" w:line="240" w:lineRule="auto"/>
        <w:jc w:val="both"/>
        <w:rPr>
          <w:bCs/>
          <w:sz w:val="24"/>
          <w:szCs w:val="24"/>
        </w:rPr>
      </w:pPr>
      <w:r w:rsidRPr="00776523">
        <w:rPr>
          <w:bCs/>
          <w:sz w:val="24"/>
          <w:szCs w:val="24"/>
        </w:rPr>
        <w:t xml:space="preserve">En lo que respecta </w:t>
      </w:r>
      <w:r>
        <w:rPr>
          <w:bCs/>
          <w:sz w:val="24"/>
          <w:szCs w:val="24"/>
        </w:rPr>
        <w:t>a la</w:t>
      </w:r>
      <w:r w:rsidRPr="00776523">
        <w:rPr>
          <w:bCs/>
          <w:sz w:val="24"/>
          <w:szCs w:val="24"/>
        </w:rPr>
        <w:t xml:space="preserve"> </w:t>
      </w:r>
      <w:r w:rsidRPr="006C0460">
        <w:rPr>
          <w:b/>
          <w:sz w:val="24"/>
          <w:szCs w:val="24"/>
        </w:rPr>
        <w:t>porta</w:t>
      </w:r>
      <w:r>
        <w:rPr>
          <w:b/>
          <w:sz w:val="24"/>
          <w:szCs w:val="24"/>
        </w:rPr>
        <w:t>bilidad de líneas</w:t>
      </w:r>
      <w:r w:rsidRPr="006C0460">
        <w:rPr>
          <w:b/>
          <w:sz w:val="24"/>
          <w:szCs w:val="24"/>
        </w:rPr>
        <w:t xml:space="preserve"> fija</w:t>
      </w:r>
      <w:r>
        <w:rPr>
          <w:b/>
          <w:sz w:val="24"/>
          <w:szCs w:val="24"/>
        </w:rPr>
        <w:t>s</w:t>
      </w:r>
      <w:r w:rsidRPr="00776523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durante el primer semestre de 2026, un total de 23 886</w:t>
      </w:r>
      <w:r w:rsidRPr="00776523">
        <w:rPr>
          <w:bCs/>
          <w:sz w:val="24"/>
          <w:szCs w:val="24"/>
        </w:rPr>
        <w:t xml:space="preserve"> líneas cambiaron de empresa operadora</w:t>
      </w:r>
      <w:r>
        <w:rPr>
          <w:bCs/>
          <w:sz w:val="24"/>
          <w:szCs w:val="24"/>
        </w:rPr>
        <w:t>, lo cual representa un incremento de más del 100% respecto al mismo periodo del año anterior.</w:t>
      </w:r>
    </w:p>
    <w:p w14:paraId="071D343F" w14:textId="41F398BA" w:rsidR="008D3B2D" w:rsidRPr="009E472F" w:rsidRDefault="00D5625F" w:rsidP="00D5625F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A400E3">
        <w:rPr>
          <w:b/>
          <w:sz w:val="24"/>
          <w:szCs w:val="24"/>
        </w:rPr>
        <w:t>Lima,</w:t>
      </w:r>
      <w:r>
        <w:rPr>
          <w:b/>
          <w:sz w:val="24"/>
          <w:szCs w:val="24"/>
        </w:rPr>
        <w:t xml:space="preserve"> 10</w:t>
      </w:r>
      <w:r w:rsidRPr="00A400E3">
        <w:rPr>
          <w:b/>
          <w:sz w:val="24"/>
          <w:szCs w:val="24"/>
        </w:rPr>
        <w:t xml:space="preserve"> de julio de 202</w:t>
      </w:r>
      <w:r>
        <w:rPr>
          <w:b/>
          <w:sz w:val="24"/>
          <w:szCs w:val="24"/>
        </w:rPr>
        <w:t>6</w:t>
      </w:r>
    </w:p>
    <w:sectPr w:rsidR="008D3B2D" w:rsidRPr="009E472F" w:rsidSect="00764A87">
      <w:headerReference w:type="default" r:id="rId11"/>
      <w:footerReference w:type="default" r:id="rId12"/>
      <w:pgSz w:w="11906" w:h="16838"/>
      <w:pgMar w:top="1797" w:right="1701" w:bottom="1276" w:left="1701" w:header="709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F658" w14:textId="77777777" w:rsidR="004E1683" w:rsidRDefault="004E1683">
      <w:pPr>
        <w:spacing w:after="0" w:line="240" w:lineRule="auto"/>
      </w:pPr>
      <w:r>
        <w:separator/>
      </w:r>
    </w:p>
  </w:endnote>
  <w:endnote w:type="continuationSeparator" w:id="0">
    <w:p w14:paraId="3D2FD0E0" w14:textId="77777777" w:rsidR="004E1683" w:rsidRDefault="004E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D0B5" w14:textId="342E61DF" w:rsidR="0056220B" w:rsidRDefault="0056220B" w:rsidP="005D1351">
    <w:pPr>
      <w:spacing w:after="0" w:line="240" w:lineRule="auto"/>
      <w:ind w:right="521"/>
    </w:pPr>
  </w:p>
  <w:p w14:paraId="726D6F91" w14:textId="77777777" w:rsidR="005B1B3F" w:rsidRDefault="005B1B3F" w:rsidP="005D1351">
    <w:pPr>
      <w:spacing w:after="0" w:line="240" w:lineRule="auto"/>
      <w:ind w:right="521"/>
    </w:pPr>
  </w:p>
  <w:p w14:paraId="66DA4E17" w14:textId="7B9B71E1" w:rsidR="00CB49B3" w:rsidRDefault="001F7E3E" w:rsidP="005D1351">
    <w:pPr>
      <w:spacing w:after="0" w:line="240" w:lineRule="auto"/>
      <w:ind w:right="521"/>
    </w:pPr>
    <w:r>
      <w:rPr>
        <w:noProof/>
        <w:lang w:val="es-ES" w:eastAsia="es-ES"/>
      </w:rPr>
      <w:drawing>
        <wp:anchor distT="0" distB="0" distL="114300" distR="114300" simplePos="0" relativeHeight="251667456" behindDoc="1" locked="0" layoutInCell="1" allowOverlap="1" wp14:anchorId="2A59F4EC" wp14:editId="360397BC">
          <wp:simplePos x="0" y="0"/>
          <wp:positionH relativeFrom="page">
            <wp:align>left</wp:align>
          </wp:positionH>
          <wp:positionV relativeFrom="paragraph">
            <wp:posOffset>-162560</wp:posOffset>
          </wp:positionV>
          <wp:extent cx="7581264" cy="944880"/>
          <wp:effectExtent l="0" t="0" r="1270" b="762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8926E" w14:textId="233565A0" w:rsidR="006D7011" w:rsidRDefault="006D7011" w:rsidP="005D1351">
    <w:pPr>
      <w:spacing w:after="0" w:line="240" w:lineRule="auto"/>
      <w:ind w:right="521"/>
    </w:pPr>
  </w:p>
  <w:p w14:paraId="5D36566F" w14:textId="77777777" w:rsidR="006D7011" w:rsidRDefault="006D7011">
    <w:pPr>
      <w:pStyle w:val="Piedepgina"/>
      <w:jc w:val="center"/>
    </w:pPr>
  </w:p>
  <w:p w14:paraId="089EBD50" w14:textId="77777777" w:rsidR="006D7011" w:rsidRDefault="006D701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4B090" w14:textId="77777777" w:rsidR="004E1683" w:rsidRDefault="004E1683">
      <w:pPr>
        <w:spacing w:after="0" w:line="240" w:lineRule="auto"/>
      </w:pPr>
      <w:r>
        <w:separator/>
      </w:r>
    </w:p>
  </w:footnote>
  <w:footnote w:type="continuationSeparator" w:id="0">
    <w:p w14:paraId="110A06BC" w14:textId="77777777" w:rsidR="004E1683" w:rsidRDefault="004E1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41E5" w14:textId="5B662072" w:rsidR="0009334A" w:rsidRDefault="001F7E3E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42F6848F" wp14:editId="24866F6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81264" cy="944880"/>
          <wp:effectExtent l="0" t="0" r="127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AFB0D" w14:textId="1A4AB99E" w:rsidR="0009334A" w:rsidRDefault="0009334A" w:rsidP="00F320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12F"/>
    <w:multiLevelType w:val="hybridMultilevel"/>
    <w:tmpl w:val="3CAAC676"/>
    <w:lvl w:ilvl="0" w:tplc="C2CEDB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45317"/>
    <w:multiLevelType w:val="hybridMultilevel"/>
    <w:tmpl w:val="C4CECE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2377"/>
    <w:multiLevelType w:val="hybridMultilevel"/>
    <w:tmpl w:val="699AD8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C3705A"/>
    <w:multiLevelType w:val="hybridMultilevel"/>
    <w:tmpl w:val="B71AD9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674F9"/>
    <w:multiLevelType w:val="hybridMultilevel"/>
    <w:tmpl w:val="A01CBFF2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 w15:restartNumberingAfterBreak="0">
    <w:nsid w:val="11CF72AF"/>
    <w:multiLevelType w:val="hybridMultilevel"/>
    <w:tmpl w:val="CC4C3BB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85030D"/>
    <w:multiLevelType w:val="hybridMultilevel"/>
    <w:tmpl w:val="6882B0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E40C8B"/>
    <w:multiLevelType w:val="hybridMultilevel"/>
    <w:tmpl w:val="A9107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6219F"/>
    <w:multiLevelType w:val="hybridMultilevel"/>
    <w:tmpl w:val="20CECE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713697"/>
    <w:multiLevelType w:val="hybridMultilevel"/>
    <w:tmpl w:val="E99454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96F87"/>
    <w:multiLevelType w:val="hybridMultilevel"/>
    <w:tmpl w:val="96329A0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1" w15:restartNumberingAfterBreak="0">
    <w:nsid w:val="1FB473A5"/>
    <w:multiLevelType w:val="hybridMultilevel"/>
    <w:tmpl w:val="A47EF7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E4032F"/>
    <w:multiLevelType w:val="hybridMultilevel"/>
    <w:tmpl w:val="85BC18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684156"/>
    <w:multiLevelType w:val="hybridMultilevel"/>
    <w:tmpl w:val="8DDE273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BC40DD"/>
    <w:multiLevelType w:val="hybridMultilevel"/>
    <w:tmpl w:val="444C9650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5" w15:restartNumberingAfterBreak="0">
    <w:nsid w:val="238B47AA"/>
    <w:multiLevelType w:val="hybridMultilevel"/>
    <w:tmpl w:val="0A2699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B0DA6"/>
    <w:multiLevelType w:val="hybridMultilevel"/>
    <w:tmpl w:val="89260A4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8F3E3E"/>
    <w:multiLevelType w:val="hybridMultilevel"/>
    <w:tmpl w:val="29C012D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99408B"/>
    <w:multiLevelType w:val="hybridMultilevel"/>
    <w:tmpl w:val="8EE6B5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24B47"/>
    <w:multiLevelType w:val="hybridMultilevel"/>
    <w:tmpl w:val="64324C8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21311A"/>
    <w:multiLevelType w:val="hybridMultilevel"/>
    <w:tmpl w:val="E5AEF01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66267F"/>
    <w:multiLevelType w:val="hybridMultilevel"/>
    <w:tmpl w:val="15C0B68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C30279"/>
    <w:multiLevelType w:val="hybridMultilevel"/>
    <w:tmpl w:val="25F464B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D4370A"/>
    <w:multiLevelType w:val="hybridMultilevel"/>
    <w:tmpl w:val="8D4E66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612ED"/>
    <w:multiLevelType w:val="hybridMultilevel"/>
    <w:tmpl w:val="83D85E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40C82"/>
    <w:multiLevelType w:val="hybridMultilevel"/>
    <w:tmpl w:val="D92E408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5C13EE"/>
    <w:multiLevelType w:val="hybridMultilevel"/>
    <w:tmpl w:val="AA12008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33932"/>
    <w:multiLevelType w:val="hybridMultilevel"/>
    <w:tmpl w:val="DA687AB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A24DDB"/>
    <w:multiLevelType w:val="hybridMultilevel"/>
    <w:tmpl w:val="2D10337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7B1FB6"/>
    <w:multiLevelType w:val="hybridMultilevel"/>
    <w:tmpl w:val="6DBC3E3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CD453C"/>
    <w:multiLevelType w:val="hybridMultilevel"/>
    <w:tmpl w:val="C3E8340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45000F"/>
    <w:multiLevelType w:val="hybridMultilevel"/>
    <w:tmpl w:val="F66E77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2" w15:restartNumberingAfterBreak="0">
    <w:nsid w:val="6F956DAF"/>
    <w:multiLevelType w:val="hybridMultilevel"/>
    <w:tmpl w:val="4678D0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D7687"/>
    <w:multiLevelType w:val="hybridMultilevel"/>
    <w:tmpl w:val="E7C61E1A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4" w15:restartNumberingAfterBreak="0">
    <w:nsid w:val="77996C63"/>
    <w:multiLevelType w:val="hybridMultilevel"/>
    <w:tmpl w:val="B186CE48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 w16cid:durableId="1174806315">
    <w:abstractNumId w:val="7"/>
  </w:num>
  <w:num w:numId="2" w16cid:durableId="1986741373">
    <w:abstractNumId w:val="25"/>
  </w:num>
  <w:num w:numId="3" w16cid:durableId="2057851282">
    <w:abstractNumId w:val="24"/>
  </w:num>
  <w:num w:numId="4" w16cid:durableId="34695321">
    <w:abstractNumId w:val="6"/>
  </w:num>
  <w:num w:numId="5" w16cid:durableId="561140870">
    <w:abstractNumId w:val="8"/>
  </w:num>
  <w:num w:numId="6" w16cid:durableId="355927042">
    <w:abstractNumId w:val="1"/>
  </w:num>
  <w:num w:numId="7" w16cid:durableId="517735357">
    <w:abstractNumId w:val="18"/>
  </w:num>
  <w:num w:numId="8" w16cid:durableId="1126391228">
    <w:abstractNumId w:val="23"/>
  </w:num>
  <w:num w:numId="9" w16cid:durableId="1658412536">
    <w:abstractNumId w:val="3"/>
  </w:num>
  <w:num w:numId="10" w16cid:durableId="776288708">
    <w:abstractNumId w:val="15"/>
  </w:num>
  <w:num w:numId="11" w16cid:durableId="1230917965">
    <w:abstractNumId w:val="26"/>
  </w:num>
  <w:num w:numId="12" w16cid:durableId="2036618171">
    <w:abstractNumId w:val="13"/>
  </w:num>
  <w:num w:numId="13" w16cid:durableId="756243115">
    <w:abstractNumId w:val="20"/>
  </w:num>
  <w:num w:numId="14" w16cid:durableId="815337487">
    <w:abstractNumId w:val="34"/>
  </w:num>
  <w:num w:numId="15" w16cid:durableId="525562462">
    <w:abstractNumId w:val="2"/>
  </w:num>
  <w:num w:numId="16" w16cid:durableId="1863082663">
    <w:abstractNumId w:val="5"/>
  </w:num>
  <w:num w:numId="17" w16cid:durableId="609436780">
    <w:abstractNumId w:val="31"/>
  </w:num>
  <w:num w:numId="18" w16cid:durableId="387343759">
    <w:abstractNumId w:val="33"/>
  </w:num>
  <w:num w:numId="19" w16cid:durableId="189418187">
    <w:abstractNumId w:val="14"/>
  </w:num>
  <w:num w:numId="20" w16cid:durableId="183178762">
    <w:abstractNumId w:val="10"/>
  </w:num>
  <w:num w:numId="21" w16cid:durableId="597519569">
    <w:abstractNumId w:val="19"/>
  </w:num>
  <w:num w:numId="22" w16cid:durableId="484006394">
    <w:abstractNumId w:val="28"/>
  </w:num>
  <w:num w:numId="23" w16cid:durableId="343437999">
    <w:abstractNumId w:val="29"/>
  </w:num>
  <w:num w:numId="24" w16cid:durableId="1330669375">
    <w:abstractNumId w:val="21"/>
  </w:num>
  <w:num w:numId="25" w16cid:durableId="715349979">
    <w:abstractNumId w:val="0"/>
  </w:num>
  <w:num w:numId="26" w16cid:durableId="1699774186">
    <w:abstractNumId w:val="30"/>
  </w:num>
  <w:num w:numId="27" w16cid:durableId="323973626">
    <w:abstractNumId w:val="32"/>
  </w:num>
  <w:num w:numId="28" w16cid:durableId="1022436414">
    <w:abstractNumId w:val="22"/>
  </w:num>
  <w:num w:numId="29" w16cid:durableId="36902318">
    <w:abstractNumId w:val="12"/>
  </w:num>
  <w:num w:numId="30" w16cid:durableId="748649267">
    <w:abstractNumId w:val="16"/>
  </w:num>
  <w:num w:numId="31" w16cid:durableId="1513255099">
    <w:abstractNumId w:val="11"/>
  </w:num>
  <w:num w:numId="32" w16cid:durableId="1606957477">
    <w:abstractNumId w:val="4"/>
  </w:num>
  <w:num w:numId="33" w16cid:durableId="1559703662">
    <w:abstractNumId w:val="27"/>
  </w:num>
  <w:num w:numId="34" w16cid:durableId="753362747">
    <w:abstractNumId w:val="17"/>
  </w:num>
  <w:num w:numId="35" w16cid:durableId="79869359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PE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6" w:nlCheck="1" w:checkStyle="1"/>
  <w:activeWritingStyle w:appName="MSWord" w:lang="es-P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3D"/>
    <w:rsid w:val="00002A6A"/>
    <w:rsid w:val="0000431A"/>
    <w:rsid w:val="00010A03"/>
    <w:rsid w:val="00016701"/>
    <w:rsid w:val="00017986"/>
    <w:rsid w:val="000369A3"/>
    <w:rsid w:val="000374B3"/>
    <w:rsid w:val="000434E1"/>
    <w:rsid w:val="000531E3"/>
    <w:rsid w:val="00055D69"/>
    <w:rsid w:val="00056586"/>
    <w:rsid w:val="00056CE2"/>
    <w:rsid w:val="00062B9C"/>
    <w:rsid w:val="00063D3F"/>
    <w:rsid w:val="00065B49"/>
    <w:rsid w:val="00077E1A"/>
    <w:rsid w:val="000821DA"/>
    <w:rsid w:val="0008285C"/>
    <w:rsid w:val="00084F0E"/>
    <w:rsid w:val="00087D4A"/>
    <w:rsid w:val="00092252"/>
    <w:rsid w:val="0009334A"/>
    <w:rsid w:val="000A184E"/>
    <w:rsid w:val="000A2782"/>
    <w:rsid w:val="000A434C"/>
    <w:rsid w:val="000A5681"/>
    <w:rsid w:val="000A5C25"/>
    <w:rsid w:val="000B10FB"/>
    <w:rsid w:val="000B1D1F"/>
    <w:rsid w:val="000C0C1E"/>
    <w:rsid w:val="000C3EA0"/>
    <w:rsid w:val="000D2FAE"/>
    <w:rsid w:val="000D542B"/>
    <w:rsid w:val="000E1740"/>
    <w:rsid w:val="000F42CE"/>
    <w:rsid w:val="0010152B"/>
    <w:rsid w:val="00104494"/>
    <w:rsid w:val="00105CF9"/>
    <w:rsid w:val="00107FBA"/>
    <w:rsid w:val="001109C7"/>
    <w:rsid w:val="00113FF9"/>
    <w:rsid w:val="0011660A"/>
    <w:rsid w:val="001201C0"/>
    <w:rsid w:val="001208B1"/>
    <w:rsid w:val="00122DA6"/>
    <w:rsid w:val="00131571"/>
    <w:rsid w:val="00140A9E"/>
    <w:rsid w:val="00142135"/>
    <w:rsid w:val="001438C3"/>
    <w:rsid w:val="00146752"/>
    <w:rsid w:val="00154B15"/>
    <w:rsid w:val="00155693"/>
    <w:rsid w:val="00155DBC"/>
    <w:rsid w:val="00157640"/>
    <w:rsid w:val="00164C59"/>
    <w:rsid w:val="00166287"/>
    <w:rsid w:val="001733AC"/>
    <w:rsid w:val="0017410C"/>
    <w:rsid w:val="00180932"/>
    <w:rsid w:val="00184E21"/>
    <w:rsid w:val="00196C5B"/>
    <w:rsid w:val="001A1402"/>
    <w:rsid w:val="001B0A72"/>
    <w:rsid w:val="001B0C75"/>
    <w:rsid w:val="001B171B"/>
    <w:rsid w:val="001B410B"/>
    <w:rsid w:val="001B5995"/>
    <w:rsid w:val="001B767E"/>
    <w:rsid w:val="001C0E49"/>
    <w:rsid w:val="001C4069"/>
    <w:rsid w:val="001C5274"/>
    <w:rsid w:val="001C5BFD"/>
    <w:rsid w:val="001D0B10"/>
    <w:rsid w:val="001D1DA3"/>
    <w:rsid w:val="001D268F"/>
    <w:rsid w:val="001D2B96"/>
    <w:rsid w:val="001D3873"/>
    <w:rsid w:val="001D6C73"/>
    <w:rsid w:val="001E07CB"/>
    <w:rsid w:val="001E3442"/>
    <w:rsid w:val="001E3531"/>
    <w:rsid w:val="001E3A25"/>
    <w:rsid w:val="001E47E6"/>
    <w:rsid w:val="001E6563"/>
    <w:rsid w:val="001F242A"/>
    <w:rsid w:val="001F4240"/>
    <w:rsid w:val="001F7E3E"/>
    <w:rsid w:val="00203973"/>
    <w:rsid w:val="00204813"/>
    <w:rsid w:val="00206820"/>
    <w:rsid w:val="00214A01"/>
    <w:rsid w:val="0021557A"/>
    <w:rsid w:val="002246A5"/>
    <w:rsid w:val="00225B10"/>
    <w:rsid w:val="0022616A"/>
    <w:rsid w:val="00226B86"/>
    <w:rsid w:val="00227D1D"/>
    <w:rsid w:val="0023250F"/>
    <w:rsid w:val="0023474B"/>
    <w:rsid w:val="0023711F"/>
    <w:rsid w:val="00237475"/>
    <w:rsid w:val="00242042"/>
    <w:rsid w:val="0024250F"/>
    <w:rsid w:val="0024739E"/>
    <w:rsid w:val="00254257"/>
    <w:rsid w:val="00262614"/>
    <w:rsid w:val="0026266D"/>
    <w:rsid w:val="0026591C"/>
    <w:rsid w:val="00267E8A"/>
    <w:rsid w:val="00275FF9"/>
    <w:rsid w:val="002763C1"/>
    <w:rsid w:val="0027771B"/>
    <w:rsid w:val="00283FC8"/>
    <w:rsid w:val="0028416D"/>
    <w:rsid w:val="00291BB7"/>
    <w:rsid w:val="002930CA"/>
    <w:rsid w:val="00294D81"/>
    <w:rsid w:val="00297027"/>
    <w:rsid w:val="002A00A5"/>
    <w:rsid w:val="002A2FFC"/>
    <w:rsid w:val="002A40E8"/>
    <w:rsid w:val="002A4196"/>
    <w:rsid w:val="002A6AB6"/>
    <w:rsid w:val="002B20AA"/>
    <w:rsid w:val="002B58CB"/>
    <w:rsid w:val="002B6F55"/>
    <w:rsid w:val="002C15E9"/>
    <w:rsid w:val="002C7FB5"/>
    <w:rsid w:val="002D4102"/>
    <w:rsid w:val="002D470B"/>
    <w:rsid w:val="002D5254"/>
    <w:rsid w:val="002D56D8"/>
    <w:rsid w:val="002E2981"/>
    <w:rsid w:val="002E5861"/>
    <w:rsid w:val="002E7A2F"/>
    <w:rsid w:val="002F42D2"/>
    <w:rsid w:val="002F60C5"/>
    <w:rsid w:val="002F6BD5"/>
    <w:rsid w:val="002F6C46"/>
    <w:rsid w:val="003002F8"/>
    <w:rsid w:val="0030471D"/>
    <w:rsid w:val="00306B3E"/>
    <w:rsid w:val="003113A9"/>
    <w:rsid w:val="00314025"/>
    <w:rsid w:val="00316DCE"/>
    <w:rsid w:val="003222D7"/>
    <w:rsid w:val="0032308D"/>
    <w:rsid w:val="003317F8"/>
    <w:rsid w:val="003373CF"/>
    <w:rsid w:val="003440DB"/>
    <w:rsid w:val="00347A2B"/>
    <w:rsid w:val="00353045"/>
    <w:rsid w:val="00353C9A"/>
    <w:rsid w:val="003543D6"/>
    <w:rsid w:val="00357D48"/>
    <w:rsid w:val="003625F2"/>
    <w:rsid w:val="00363E73"/>
    <w:rsid w:val="003655FF"/>
    <w:rsid w:val="003802D6"/>
    <w:rsid w:val="00381F52"/>
    <w:rsid w:val="00383228"/>
    <w:rsid w:val="00385C20"/>
    <w:rsid w:val="0039430F"/>
    <w:rsid w:val="00395225"/>
    <w:rsid w:val="003953F5"/>
    <w:rsid w:val="00396222"/>
    <w:rsid w:val="003A22A7"/>
    <w:rsid w:val="003A41C2"/>
    <w:rsid w:val="003B4928"/>
    <w:rsid w:val="003C26E3"/>
    <w:rsid w:val="003C4CD9"/>
    <w:rsid w:val="003C67A5"/>
    <w:rsid w:val="003D162E"/>
    <w:rsid w:val="003D20B5"/>
    <w:rsid w:val="003D2154"/>
    <w:rsid w:val="003D27AF"/>
    <w:rsid w:val="003D58A5"/>
    <w:rsid w:val="003E23BD"/>
    <w:rsid w:val="003F2E92"/>
    <w:rsid w:val="003F74D9"/>
    <w:rsid w:val="00404A06"/>
    <w:rsid w:val="00407F33"/>
    <w:rsid w:val="00410062"/>
    <w:rsid w:val="00410C4B"/>
    <w:rsid w:val="00411A4F"/>
    <w:rsid w:val="00411D56"/>
    <w:rsid w:val="004123F6"/>
    <w:rsid w:val="00416CAB"/>
    <w:rsid w:val="00416EBC"/>
    <w:rsid w:val="004170C1"/>
    <w:rsid w:val="00421EFC"/>
    <w:rsid w:val="00422166"/>
    <w:rsid w:val="004247E6"/>
    <w:rsid w:val="00425FDB"/>
    <w:rsid w:val="0042627D"/>
    <w:rsid w:val="00434D82"/>
    <w:rsid w:val="0044460C"/>
    <w:rsid w:val="004508C4"/>
    <w:rsid w:val="004549A1"/>
    <w:rsid w:val="00456943"/>
    <w:rsid w:val="004617A1"/>
    <w:rsid w:val="0046384F"/>
    <w:rsid w:val="00465E34"/>
    <w:rsid w:val="0047077A"/>
    <w:rsid w:val="00472918"/>
    <w:rsid w:val="0047295A"/>
    <w:rsid w:val="00483092"/>
    <w:rsid w:val="00490FAF"/>
    <w:rsid w:val="004927CD"/>
    <w:rsid w:val="004956CB"/>
    <w:rsid w:val="004975C4"/>
    <w:rsid w:val="004A1FC2"/>
    <w:rsid w:val="004B0E83"/>
    <w:rsid w:val="004B283E"/>
    <w:rsid w:val="004B2B6A"/>
    <w:rsid w:val="004B37EF"/>
    <w:rsid w:val="004C05F9"/>
    <w:rsid w:val="004C1C7F"/>
    <w:rsid w:val="004C7C53"/>
    <w:rsid w:val="004D067D"/>
    <w:rsid w:val="004D2088"/>
    <w:rsid w:val="004D2CA3"/>
    <w:rsid w:val="004D3205"/>
    <w:rsid w:val="004D4444"/>
    <w:rsid w:val="004D729A"/>
    <w:rsid w:val="004D768C"/>
    <w:rsid w:val="004E1683"/>
    <w:rsid w:val="004E3DB6"/>
    <w:rsid w:val="004E6D55"/>
    <w:rsid w:val="004F14F8"/>
    <w:rsid w:val="004F47CE"/>
    <w:rsid w:val="004F5CDB"/>
    <w:rsid w:val="00503807"/>
    <w:rsid w:val="00515196"/>
    <w:rsid w:val="00516E13"/>
    <w:rsid w:val="00520874"/>
    <w:rsid w:val="00536E4A"/>
    <w:rsid w:val="005442B6"/>
    <w:rsid w:val="00544378"/>
    <w:rsid w:val="00547275"/>
    <w:rsid w:val="00551BD5"/>
    <w:rsid w:val="0055411F"/>
    <w:rsid w:val="00555043"/>
    <w:rsid w:val="00556945"/>
    <w:rsid w:val="0056220B"/>
    <w:rsid w:val="00565686"/>
    <w:rsid w:val="00566ED8"/>
    <w:rsid w:val="00576DC7"/>
    <w:rsid w:val="00577E28"/>
    <w:rsid w:val="005810C9"/>
    <w:rsid w:val="00584321"/>
    <w:rsid w:val="00585B63"/>
    <w:rsid w:val="005953D3"/>
    <w:rsid w:val="00596C55"/>
    <w:rsid w:val="00597929"/>
    <w:rsid w:val="005A4008"/>
    <w:rsid w:val="005B19C3"/>
    <w:rsid w:val="005B1B3F"/>
    <w:rsid w:val="005B7231"/>
    <w:rsid w:val="005C5A72"/>
    <w:rsid w:val="005D1351"/>
    <w:rsid w:val="005D2898"/>
    <w:rsid w:val="005D68B7"/>
    <w:rsid w:val="005E15BB"/>
    <w:rsid w:val="005E3196"/>
    <w:rsid w:val="005E7251"/>
    <w:rsid w:val="005E7FFE"/>
    <w:rsid w:val="005F003D"/>
    <w:rsid w:val="005F1DD6"/>
    <w:rsid w:val="005F43E5"/>
    <w:rsid w:val="00607BC7"/>
    <w:rsid w:val="00615F2B"/>
    <w:rsid w:val="00622283"/>
    <w:rsid w:val="00623B00"/>
    <w:rsid w:val="00624B9A"/>
    <w:rsid w:val="00626FD6"/>
    <w:rsid w:val="00627407"/>
    <w:rsid w:val="006312BB"/>
    <w:rsid w:val="00631D11"/>
    <w:rsid w:val="00635117"/>
    <w:rsid w:val="006378D6"/>
    <w:rsid w:val="00637C54"/>
    <w:rsid w:val="006458E3"/>
    <w:rsid w:val="006501AC"/>
    <w:rsid w:val="00650815"/>
    <w:rsid w:val="0065376D"/>
    <w:rsid w:val="006679BA"/>
    <w:rsid w:val="00667E5B"/>
    <w:rsid w:val="006726FE"/>
    <w:rsid w:val="00676EE3"/>
    <w:rsid w:val="006843D5"/>
    <w:rsid w:val="006850DE"/>
    <w:rsid w:val="0068644C"/>
    <w:rsid w:val="00686714"/>
    <w:rsid w:val="00694462"/>
    <w:rsid w:val="006A0326"/>
    <w:rsid w:val="006A34F6"/>
    <w:rsid w:val="006B1094"/>
    <w:rsid w:val="006B6D8D"/>
    <w:rsid w:val="006B7A63"/>
    <w:rsid w:val="006C18D1"/>
    <w:rsid w:val="006C1F41"/>
    <w:rsid w:val="006C387A"/>
    <w:rsid w:val="006C3C5B"/>
    <w:rsid w:val="006D4419"/>
    <w:rsid w:val="006D7011"/>
    <w:rsid w:val="006E0159"/>
    <w:rsid w:val="006E30F9"/>
    <w:rsid w:val="006E4CF3"/>
    <w:rsid w:val="006F7E5A"/>
    <w:rsid w:val="0070497B"/>
    <w:rsid w:val="00704F2B"/>
    <w:rsid w:val="007130A0"/>
    <w:rsid w:val="0071780F"/>
    <w:rsid w:val="007249EA"/>
    <w:rsid w:val="007327D4"/>
    <w:rsid w:val="007352A2"/>
    <w:rsid w:val="00735D2A"/>
    <w:rsid w:val="00741193"/>
    <w:rsid w:val="00746BA3"/>
    <w:rsid w:val="00746F95"/>
    <w:rsid w:val="00750DDB"/>
    <w:rsid w:val="007562BE"/>
    <w:rsid w:val="00757CD5"/>
    <w:rsid w:val="00757CDE"/>
    <w:rsid w:val="00760638"/>
    <w:rsid w:val="00763A0E"/>
    <w:rsid w:val="00763A10"/>
    <w:rsid w:val="00764A87"/>
    <w:rsid w:val="00764B5C"/>
    <w:rsid w:val="0077226C"/>
    <w:rsid w:val="00777EF9"/>
    <w:rsid w:val="00783CD8"/>
    <w:rsid w:val="00796D62"/>
    <w:rsid w:val="007A1613"/>
    <w:rsid w:val="007A182B"/>
    <w:rsid w:val="007A6F70"/>
    <w:rsid w:val="007B3767"/>
    <w:rsid w:val="007B4786"/>
    <w:rsid w:val="007C396A"/>
    <w:rsid w:val="007C726F"/>
    <w:rsid w:val="007D0E3C"/>
    <w:rsid w:val="007D203A"/>
    <w:rsid w:val="007D695F"/>
    <w:rsid w:val="007E0746"/>
    <w:rsid w:val="007E0E26"/>
    <w:rsid w:val="007E142F"/>
    <w:rsid w:val="007E38C1"/>
    <w:rsid w:val="007E3CDA"/>
    <w:rsid w:val="007E62D2"/>
    <w:rsid w:val="007F09EE"/>
    <w:rsid w:val="00800E65"/>
    <w:rsid w:val="00802BA6"/>
    <w:rsid w:val="00804632"/>
    <w:rsid w:val="00804D18"/>
    <w:rsid w:val="008140AF"/>
    <w:rsid w:val="008151E5"/>
    <w:rsid w:val="008154D0"/>
    <w:rsid w:val="00825D6D"/>
    <w:rsid w:val="008358A3"/>
    <w:rsid w:val="00843799"/>
    <w:rsid w:val="00847056"/>
    <w:rsid w:val="00852567"/>
    <w:rsid w:val="00853BB5"/>
    <w:rsid w:val="008559CD"/>
    <w:rsid w:val="00855C40"/>
    <w:rsid w:val="00856304"/>
    <w:rsid w:val="008625D8"/>
    <w:rsid w:val="00862920"/>
    <w:rsid w:val="0086492B"/>
    <w:rsid w:val="0086680B"/>
    <w:rsid w:val="0087341A"/>
    <w:rsid w:val="00874B43"/>
    <w:rsid w:val="00886178"/>
    <w:rsid w:val="00893E66"/>
    <w:rsid w:val="008A1338"/>
    <w:rsid w:val="008A4986"/>
    <w:rsid w:val="008B1A05"/>
    <w:rsid w:val="008B47EE"/>
    <w:rsid w:val="008B4901"/>
    <w:rsid w:val="008B5AC4"/>
    <w:rsid w:val="008B64AA"/>
    <w:rsid w:val="008C29F4"/>
    <w:rsid w:val="008C375E"/>
    <w:rsid w:val="008C4306"/>
    <w:rsid w:val="008C6484"/>
    <w:rsid w:val="008C7273"/>
    <w:rsid w:val="008D381E"/>
    <w:rsid w:val="008D3B2D"/>
    <w:rsid w:val="008D5174"/>
    <w:rsid w:val="008D775F"/>
    <w:rsid w:val="008D7E6A"/>
    <w:rsid w:val="008E3B7C"/>
    <w:rsid w:val="008E745A"/>
    <w:rsid w:val="008E7BF0"/>
    <w:rsid w:val="008F4D2B"/>
    <w:rsid w:val="0090066F"/>
    <w:rsid w:val="00906E4E"/>
    <w:rsid w:val="009079E3"/>
    <w:rsid w:val="00920658"/>
    <w:rsid w:val="0092442A"/>
    <w:rsid w:val="00925F75"/>
    <w:rsid w:val="00930124"/>
    <w:rsid w:val="00932AC8"/>
    <w:rsid w:val="00934F24"/>
    <w:rsid w:val="0093578C"/>
    <w:rsid w:val="00937F4E"/>
    <w:rsid w:val="00946244"/>
    <w:rsid w:val="00951E3F"/>
    <w:rsid w:val="00952356"/>
    <w:rsid w:val="009525B5"/>
    <w:rsid w:val="00952E2F"/>
    <w:rsid w:val="00954076"/>
    <w:rsid w:val="00955F46"/>
    <w:rsid w:val="009610C7"/>
    <w:rsid w:val="00965AE5"/>
    <w:rsid w:val="00967A59"/>
    <w:rsid w:val="0097559E"/>
    <w:rsid w:val="00975E6A"/>
    <w:rsid w:val="00975FAA"/>
    <w:rsid w:val="00977105"/>
    <w:rsid w:val="00977F3D"/>
    <w:rsid w:val="0098034D"/>
    <w:rsid w:val="009844AA"/>
    <w:rsid w:val="00991D9F"/>
    <w:rsid w:val="00993C9D"/>
    <w:rsid w:val="00994368"/>
    <w:rsid w:val="009A01FB"/>
    <w:rsid w:val="009A211D"/>
    <w:rsid w:val="009B0AB6"/>
    <w:rsid w:val="009B262A"/>
    <w:rsid w:val="009B3ECE"/>
    <w:rsid w:val="009B6CD2"/>
    <w:rsid w:val="009C3B52"/>
    <w:rsid w:val="009C4C4C"/>
    <w:rsid w:val="009C5320"/>
    <w:rsid w:val="009C5383"/>
    <w:rsid w:val="009D10FE"/>
    <w:rsid w:val="009D5B63"/>
    <w:rsid w:val="009D5FD0"/>
    <w:rsid w:val="009E270A"/>
    <w:rsid w:val="009E472F"/>
    <w:rsid w:val="009E4B66"/>
    <w:rsid w:val="009E71E2"/>
    <w:rsid w:val="009F561F"/>
    <w:rsid w:val="009F738D"/>
    <w:rsid w:val="00A00C35"/>
    <w:rsid w:val="00A03E61"/>
    <w:rsid w:val="00A048BE"/>
    <w:rsid w:val="00A05508"/>
    <w:rsid w:val="00A064A3"/>
    <w:rsid w:val="00A1122F"/>
    <w:rsid w:val="00A13166"/>
    <w:rsid w:val="00A21A1B"/>
    <w:rsid w:val="00A229D7"/>
    <w:rsid w:val="00A23E39"/>
    <w:rsid w:val="00A24E66"/>
    <w:rsid w:val="00A2533C"/>
    <w:rsid w:val="00A2618F"/>
    <w:rsid w:val="00A26367"/>
    <w:rsid w:val="00A27946"/>
    <w:rsid w:val="00A279FE"/>
    <w:rsid w:val="00A32EFB"/>
    <w:rsid w:val="00A36674"/>
    <w:rsid w:val="00A459C8"/>
    <w:rsid w:val="00A50796"/>
    <w:rsid w:val="00A5464A"/>
    <w:rsid w:val="00A55B53"/>
    <w:rsid w:val="00A60EC0"/>
    <w:rsid w:val="00A627BE"/>
    <w:rsid w:val="00A63DD4"/>
    <w:rsid w:val="00A64AE4"/>
    <w:rsid w:val="00A65196"/>
    <w:rsid w:val="00A71399"/>
    <w:rsid w:val="00A72FF8"/>
    <w:rsid w:val="00A76B25"/>
    <w:rsid w:val="00A775CF"/>
    <w:rsid w:val="00A77999"/>
    <w:rsid w:val="00A82EC9"/>
    <w:rsid w:val="00A832A1"/>
    <w:rsid w:val="00A860D6"/>
    <w:rsid w:val="00A8779D"/>
    <w:rsid w:val="00A90C3D"/>
    <w:rsid w:val="00A96AE9"/>
    <w:rsid w:val="00AA018D"/>
    <w:rsid w:val="00AA1691"/>
    <w:rsid w:val="00AA7353"/>
    <w:rsid w:val="00AB3B0C"/>
    <w:rsid w:val="00AB53C9"/>
    <w:rsid w:val="00AC1BD9"/>
    <w:rsid w:val="00AC29F0"/>
    <w:rsid w:val="00AD257F"/>
    <w:rsid w:val="00AD4D67"/>
    <w:rsid w:val="00AD7164"/>
    <w:rsid w:val="00AE19B1"/>
    <w:rsid w:val="00AE1EB6"/>
    <w:rsid w:val="00AE4DCD"/>
    <w:rsid w:val="00AF10B3"/>
    <w:rsid w:val="00AF13D1"/>
    <w:rsid w:val="00AF14F0"/>
    <w:rsid w:val="00AF41C2"/>
    <w:rsid w:val="00AF4581"/>
    <w:rsid w:val="00AF646E"/>
    <w:rsid w:val="00AF7D61"/>
    <w:rsid w:val="00B03B87"/>
    <w:rsid w:val="00B03DE0"/>
    <w:rsid w:val="00B05459"/>
    <w:rsid w:val="00B06968"/>
    <w:rsid w:val="00B11267"/>
    <w:rsid w:val="00B113DB"/>
    <w:rsid w:val="00B123C3"/>
    <w:rsid w:val="00B16206"/>
    <w:rsid w:val="00B2351D"/>
    <w:rsid w:val="00B268C6"/>
    <w:rsid w:val="00B35087"/>
    <w:rsid w:val="00B40475"/>
    <w:rsid w:val="00B42644"/>
    <w:rsid w:val="00B45054"/>
    <w:rsid w:val="00B46CD5"/>
    <w:rsid w:val="00B50452"/>
    <w:rsid w:val="00B52E48"/>
    <w:rsid w:val="00B55869"/>
    <w:rsid w:val="00B56E0B"/>
    <w:rsid w:val="00B620E1"/>
    <w:rsid w:val="00B66E1E"/>
    <w:rsid w:val="00B7030B"/>
    <w:rsid w:val="00B70A3E"/>
    <w:rsid w:val="00B75C6C"/>
    <w:rsid w:val="00B76991"/>
    <w:rsid w:val="00B76D21"/>
    <w:rsid w:val="00B80C37"/>
    <w:rsid w:val="00B81AB3"/>
    <w:rsid w:val="00B831EE"/>
    <w:rsid w:val="00B83311"/>
    <w:rsid w:val="00B84942"/>
    <w:rsid w:val="00B87FDB"/>
    <w:rsid w:val="00B95CA8"/>
    <w:rsid w:val="00BA04ED"/>
    <w:rsid w:val="00BA38D0"/>
    <w:rsid w:val="00BA4079"/>
    <w:rsid w:val="00BA4D95"/>
    <w:rsid w:val="00BB31D5"/>
    <w:rsid w:val="00BB7B49"/>
    <w:rsid w:val="00BC009F"/>
    <w:rsid w:val="00BC1FDE"/>
    <w:rsid w:val="00BC3EC3"/>
    <w:rsid w:val="00BC4AB5"/>
    <w:rsid w:val="00BC5975"/>
    <w:rsid w:val="00BC6E35"/>
    <w:rsid w:val="00BD29DD"/>
    <w:rsid w:val="00BD40AA"/>
    <w:rsid w:val="00BD4BA8"/>
    <w:rsid w:val="00BD4EE2"/>
    <w:rsid w:val="00BD558D"/>
    <w:rsid w:val="00BD6ABF"/>
    <w:rsid w:val="00BE26A8"/>
    <w:rsid w:val="00BE3BBC"/>
    <w:rsid w:val="00BE4397"/>
    <w:rsid w:val="00BE6801"/>
    <w:rsid w:val="00BE78EA"/>
    <w:rsid w:val="00BF3208"/>
    <w:rsid w:val="00BF57D9"/>
    <w:rsid w:val="00C13FCD"/>
    <w:rsid w:val="00C1628D"/>
    <w:rsid w:val="00C17655"/>
    <w:rsid w:val="00C24594"/>
    <w:rsid w:val="00C25559"/>
    <w:rsid w:val="00C30918"/>
    <w:rsid w:val="00C321F8"/>
    <w:rsid w:val="00C339E3"/>
    <w:rsid w:val="00C373CD"/>
    <w:rsid w:val="00C40B61"/>
    <w:rsid w:val="00C420A8"/>
    <w:rsid w:val="00C42BAA"/>
    <w:rsid w:val="00C44BFE"/>
    <w:rsid w:val="00C53150"/>
    <w:rsid w:val="00C53ECE"/>
    <w:rsid w:val="00C6032D"/>
    <w:rsid w:val="00C61029"/>
    <w:rsid w:val="00C6226E"/>
    <w:rsid w:val="00C633E3"/>
    <w:rsid w:val="00C64E6C"/>
    <w:rsid w:val="00C746CC"/>
    <w:rsid w:val="00C7475A"/>
    <w:rsid w:val="00C75B29"/>
    <w:rsid w:val="00C82052"/>
    <w:rsid w:val="00C84392"/>
    <w:rsid w:val="00C843FD"/>
    <w:rsid w:val="00C84D2F"/>
    <w:rsid w:val="00C857C5"/>
    <w:rsid w:val="00C92EA6"/>
    <w:rsid w:val="00C94A00"/>
    <w:rsid w:val="00CA02C0"/>
    <w:rsid w:val="00CA1CE9"/>
    <w:rsid w:val="00CA3C5D"/>
    <w:rsid w:val="00CA4C7A"/>
    <w:rsid w:val="00CB3570"/>
    <w:rsid w:val="00CB49B3"/>
    <w:rsid w:val="00CB5FA2"/>
    <w:rsid w:val="00CB6D0F"/>
    <w:rsid w:val="00CB7A8C"/>
    <w:rsid w:val="00CC1400"/>
    <w:rsid w:val="00CC73FB"/>
    <w:rsid w:val="00CD35B7"/>
    <w:rsid w:val="00CD6440"/>
    <w:rsid w:val="00CE5A30"/>
    <w:rsid w:val="00CE6E3E"/>
    <w:rsid w:val="00CE7E7C"/>
    <w:rsid w:val="00CF04CC"/>
    <w:rsid w:val="00CF1C36"/>
    <w:rsid w:val="00CF508B"/>
    <w:rsid w:val="00CF797B"/>
    <w:rsid w:val="00D00B94"/>
    <w:rsid w:val="00D05B96"/>
    <w:rsid w:val="00D06053"/>
    <w:rsid w:val="00D0740B"/>
    <w:rsid w:val="00D079B0"/>
    <w:rsid w:val="00D07A6F"/>
    <w:rsid w:val="00D10DEF"/>
    <w:rsid w:val="00D1179B"/>
    <w:rsid w:val="00D12ABC"/>
    <w:rsid w:val="00D146BF"/>
    <w:rsid w:val="00D15C88"/>
    <w:rsid w:val="00D2176E"/>
    <w:rsid w:val="00D21B1C"/>
    <w:rsid w:val="00D2567B"/>
    <w:rsid w:val="00D25F5B"/>
    <w:rsid w:val="00D33D98"/>
    <w:rsid w:val="00D349D6"/>
    <w:rsid w:val="00D45AB8"/>
    <w:rsid w:val="00D47181"/>
    <w:rsid w:val="00D554FB"/>
    <w:rsid w:val="00D560BC"/>
    <w:rsid w:val="00D5625F"/>
    <w:rsid w:val="00D573ED"/>
    <w:rsid w:val="00D60EE3"/>
    <w:rsid w:val="00D614C0"/>
    <w:rsid w:val="00D65A45"/>
    <w:rsid w:val="00D73A5E"/>
    <w:rsid w:val="00D74A0B"/>
    <w:rsid w:val="00D8538B"/>
    <w:rsid w:val="00D9000B"/>
    <w:rsid w:val="00D949C6"/>
    <w:rsid w:val="00D95B99"/>
    <w:rsid w:val="00D978B2"/>
    <w:rsid w:val="00DA5109"/>
    <w:rsid w:val="00DB2AAC"/>
    <w:rsid w:val="00DC068A"/>
    <w:rsid w:val="00DC2FCB"/>
    <w:rsid w:val="00DC454D"/>
    <w:rsid w:val="00DC5E44"/>
    <w:rsid w:val="00DC640C"/>
    <w:rsid w:val="00DC72A4"/>
    <w:rsid w:val="00DD05BA"/>
    <w:rsid w:val="00DD088B"/>
    <w:rsid w:val="00DD1002"/>
    <w:rsid w:val="00DD1512"/>
    <w:rsid w:val="00DD3699"/>
    <w:rsid w:val="00DD617D"/>
    <w:rsid w:val="00DE11BD"/>
    <w:rsid w:val="00DE7029"/>
    <w:rsid w:val="00DF338D"/>
    <w:rsid w:val="00DF4F80"/>
    <w:rsid w:val="00E0101D"/>
    <w:rsid w:val="00E03132"/>
    <w:rsid w:val="00E074E1"/>
    <w:rsid w:val="00E0758F"/>
    <w:rsid w:val="00E10A15"/>
    <w:rsid w:val="00E12B98"/>
    <w:rsid w:val="00E1306C"/>
    <w:rsid w:val="00E13D3F"/>
    <w:rsid w:val="00E1593D"/>
    <w:rsid w:val="00E17977"/>
    <w:rsid w:val="00E17FEE"/>
    <w:rsid w:val="00E20FA0"/>
    <w:rsid w:val="00E21C2D"/>
    <w:rsid w:val="00E22D3C"/>
    <w:rsid w:val="00E23E17"/>
    <w:rsid w:val="00E302AA"/>
    <w:rsid w:val="00E33E47"/>
    <w:rsid w:val="00E4340E"/>
    <w:rsid w:val="00E43C6D"/>
    <w:rsid w:val="00E453C5"/>
    <w:rsid w:val="00E5043F"/>
    <w:rsid w:val="00E50FB4"/>
    <w:rsid w:val="00E55F1E"/>
    <w:rsid w:val="00E576CD"/>
    <w:rsid w:val="00E637A7"/>
    <w:rsid w:val="00E65DD8"/>
    <w:rsid w:val="00E66B6A"/>
    <w:rsid w:val="00E67297"/>
    <w:rsid w:val="00E67A7F"/>
    <w:rsid w:val="00E709FD"/>
    <w:rsid w:val="00E70DED"/>
    <w:rsid w:val="00E74BAD"/>
    <w:rsid w:val="00E76F6D"/>
    <w:rsid w:val="00E84CDA"/>
    <w:rsid w:val="00E93038"/>
    <w:rsid w:val="00E949B9"/>
    <w:rsid w:val="00EA356C"/>
    <w:rsid w:val="00EB0F2F"/>
    <w:rsid w:val="00EC3D33"/>
    <w:rsid w:val="00EC5158"/>
    <w:rsid w:val="00ED3636"/>
    <w:rsid w:val="00ED4450"/>
    <w:rsid w:val="00ED6C24"/>
    <w:rsid w:val="00EE2D46"/>
    <w:rsid w:val="00EE3231"/>
    <w:rsid w:val="00EF0491"/>
    <w:rsid w:val="00EF0915"/>
    <w:rsid w:val="00EF3CB2"/>
    <w:rsid w:val="00EF6BB9"/>
    <w:rsid w:val="00EF6F1E"/>
    <w:rsid w:val="00F01354"/>
    <w:rsid w:val="00F039E5"/>
    <w:rsid w:val="00F07BAE"/>
    <w:rsid w:val="00F10F24"/>
    <w:rsid w:val="00F145B7"/>
    <w:rsid w:val="00F14B56"/>
    <w:rsid w:val="00F158BB"/>
    <w:rsid w:val="00F21FAF"/>
    <w:rsid w:val="00F27796"/>
    <w:rsid w:val="00F27B4F"/>
    <w:rsid w:val="00F316AF"/>
    <w:rsid w:val="00F320EF"/>
    <w:rsid w:val="00F34215"/>
    <w:rsid w:val="00F350F4"/>
    <w:rsid w:val="00F3591F"/>
    <w:rsid w:val="00F377A0"/>
    <w:rsid w:val="00F42DF6"/>
    <w:rsid w:val="00F50E87"/>
    <w:rsid w:val="00F53970"/>
    <w:rsid w:val="00F54F43"/>
    <w:rsid w:val="00F56D5A"/>
    <w:rsid w:val="00F6196D"/>
    <w:rsid w:val="00F62EEF"/>
    <w:rsid w:val="00F63521"/>
    <w:rsid w:val="00F64AE8"/>
    <w:rsid w:val="00F65F4D"/>
    <w:rsid w:val="00F67C10"/>
    <w:rsid w:val="00F71EA4"/>
    <w:rsid w:val="00F764D9"/>
    <w:rsid w:val="00F77BFA"/>
    <w:rsid w:val="00F80087"/>
    <w:rsid w:val="00F836E5"/>
    <w:rsid w:val="00F85B1B"/>
    <w:rsid w:val="00F92FA8"/>
    <w:rsid w:val="00F94A8D"/>
    <w:rsid w:val="00F95FFA"/>
    <w:rsid w:val="00F96CAB"/>
    <w:rsid w:val="00F9716A"/>
    <w:rsid w:val="00F977D5"/>
    <w:rsid w:val="00FB29F7"/>
    <w:rsid w:val="00FB73ED"/>
    <w:rsid w:val="00FC2F3D"/>
    <w:rsid w:val="00FC340C"/>
    <w:rsid w:val="00FC76ED"/>
    <w:rsid w:val="00FD06BF"/>
    <w:rsid w:val="00FD2FD5"/>
    <w:rsid w:val="00FD5382"/>
    <w:rsid w:val="00FD56B4"/>
    <w:rsid w:val="00FD72A8"/>
    <w:rsid w:val="00FE1385"/>
    <w:rsid w:val="00FE1F47"/>
    <w:rsid w:val="00FE2DD1"/>
    <w:rsid w:val="00FE4716"/>
    <w:rsid w:val="00FE57F8"/>
    <w:rsid w:val="00FE6698"/>
    <w:rsid w:val="00FE6772"/>
    <w:rsid w:val="00FE6824"/>
    <w:rsid w:val="00FF012F"/>
    <w:rsid w:val="00FF028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154C8D"/>
  <w15:chartTrackingRefBased/>
  <w15:docId w15:val="{3BBE0335-E7B6-45CA-BA29-52053931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658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aliases w:val="Fundamentacion,Lista vistosa - Énfasis 11,paul2,Footnote,List Paragraph1,Titulo 1,SubPárrafo de lista,Cuadro 2-1,List number Paragraph,SOP_bullet1,F5 List Paragraph,Dot pt,No Spacing1,List Paragraph Char Char Char,titulo,List Paragraph"/>
    <w:basedOn w:val="Normal"/>
    <w:link w:val="PrrafodelistaCar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E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PrrafodelistaCar">
    <w:name w:val="Párrafo de lista Car"/>
    <w:aliases w:val="Fundamentacion Car,Lista vistosa - Énfasis 11 Car,paul2 Car,Footnote Car,List Paragraph1 Car,Titulo 1 Car,SubPárrafo de lista Car,Cuadro 2-1 Car,List number Paragraph Car,SOP_bullet1 Car,F5 List Paragraph Car,Dot pt Car,titulo Car"/>
    <w:link w:val="Prrafodelista"/>
    <w:uiPriority w:val="34"/>
    <w:qFormat/>
    <w:rPr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rafo-gior">
    <w:name w:val="Parrafo-gior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86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84D2F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694462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154B15"/>
  </w:style>
  <w:style w:type="character" w:customStyle="1" w:styleId="xcontentpasted1">
    <w:name w:val="x_contentpasted1"/>
    <w:basedOn w:val="Fuentedeprrafopredeter"/>
    <w:rsid w:val="0070497B"/>
    <w:rPr>
      <w:rFonts w:ascii="Times New Roman" w:hAnsi="Times New Roman" w:cs="Times New Roman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9B3"/>
    <w:rPr>
      <w:rFonts w:ascii="Segoe UI" w:hAnsi="Segoe UI" w:cs="Segoe UI"/>
      <w:sz w:val="18"/>
      <w:szCs w:val="18"/>
    </w:rPr>
  </w:style>
  <w:style w:type="paragraph" w:customStyle="1" w:styleId="selectable-text">
    <w:name w:val="selectable-text"/>
    <w:basedOn w:val="Normal"/>
    <w:rsid w:val="0063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white-space-pre">
    <w:name w:val="white-space-pre"/>
    <w:basedOn w:val="Fuentedeprrafopredeter"/>
    <w:rsid w:val="00206820"/>
  </w:style>
  <w:style w:type="character" w:styleId="Hipervnculovisitado">
    <w:name w:val="FollowedHyperlink"/>
    <w:basedOn w:val="Fuentedeprrafopredeter"/>
    <w:uiPriority w:val="99"/>
    <w:semiHidden/>
    <w:unhideWhenUsed/>
    <w:rsid w:val="00650815"/>
    <w:rPr>
      <w:color w:val="954F72" w:themeColor="followedHyperlink"/>
      <w:u w:val="single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B5045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18D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A3CB3-9230-4AC2-A370-37F1C638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Omar Herrera Villanueva</dc:creator>
  <cp:lastModifiedBy>Omar Herrera Villanueva</cp:lastModifiedBy>
  <cp:revision>2</cp:revision>
  <cp:lastPrinted>2024-12-20T16:24:00Z</cp:lastPrinted>
  <dcterms:created xsi:type="dcterms:W3CDTF">2026-07-09T22:46:00Z</dcterms:created>
  <dcterms:modified xsi:type="dcterms:W3CDTF">2026-07-09T22:46:00Z</dcterms:modified>
</cp:coreProperties>
</file>